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9A" w:rsidRDefault="00420738" w:rsidP="00D7179A">
      <w:pPr>
        <w:jc w:val="both"/>
        <w:rPr>
          <w:b/>
          <w:u w:val="single"/>
        </w:rPr>
      </w:pPr>
      <w:bookmarkStart w:id="0" w:name="_GoBack"/>
      <w:bookmarkEnd w:id="0"/>
      <w:r w:rsidRPr="00D7179A">
        <w:rPr>
          <w:b/>
          <w:u w:val="single"/>
        </w:rPr>
        <w:t>Pytania i odpowiedzi</w:t>
      </w:r>
      <w:r w:rsidR="000D5749" w:rsidRPr="00D7179A">
        <w:rPr>
          <w:b/>
          <w:u w:val="single"/>
        </w:rPr>
        <w:t xml:space="preserve"> dot. spotkań informacyjnych dla potencjalnych beneficjentów Działania 4.3 zorganizowanych w dniach 8 i 9 grudnia 2015 r. w zakresie następujących prezentacji:</w:t>
      </w:r>
      <w:r w:rsidRPr="00D7179A">
        <w:rPr>
          <w:b/>
          <w:u w:val="single"/>
        </w:rPr>
        <w:t xml:space="preserve"> </w:t>
      </w:r>
    </w:p>
    <w:p w:rsidR="00955C6C" w:rsidRPr="00D7179A" w:rsidRDefault="00420738" w:rsidP="00D7179A">
      <w:pPr>
        <w:jc w:val="center"/>
        <w:rPr>
          <w:rFonts w:cs="Arial"/>
          <w:b/>
          <w:u w:val="single"/>
        </w:rPr>
      </w:pPr>
      <w:r w:rsidRPr="00D7179A">
        <w:rPr>
          <w:b/>
          <w:u w:val="single"/>
        </w:rPr>
        <w:t>„</w:t>
      </w:r>
      <w:r w:rsidR="000D5749" w:rsidRPr="00D7179A">
        <w:rPr>
          <w:rFonts w:cs="Arial"/>
          <w:b/>
          <w:iCs/>
          <w:u w:val="single"/>
        </w:rPr>
        <w:t xml:space="preserve">Podstawowe założenia konkursu w ramach działania 4.3 Dziedzictwo kulturowe” i </w:t>
      </w:r>
      <w:r w:rsidR="000D5749" w:rsidRPr="00D7179A">
        <w:rPr>
          <w:rFonts w:cs="Arial"/>
          <w:b/>
          <w:bCs/>
          <w:u w:val="single"/>
        </w:rPr>
        <w:t>„</w:t>
      </w:r>
      <w:r w:rsidR="000D5749" w:rsidRPr="00D7179A">
        <w:rPr>
          <w:rFonts w:cs="Arial"/>
          <w:b/>
          <w:u w:val="single"/>
        </w:rPr>
        <w:t>Kryteriów oceny zgodności projektu ze Strategią Rozwoju Województwa Dolnośląskiego dla projektów EFRR”:</w:t>
      </w:r>
    </w:p>
    <w:p w:rsidR="00955C6C" w:rsidRPr="00D7179A" w:rsidRDefault="00955C6C" w:rsidP="00B64C27">
      <w:pPr>
        <w:jc w:val="both"/>
        <w:rPr>
          <w:rFonts w:cs="Arial"/>
          <w:b/>
          <w:u w:val="single"/>
        </w:rPr>
      </w:pPr>
    </w:p>
    <w:p w:rsidR="00420738" w:rsidRPr="00D7179A" w:rsidRDefault="00420738" w:rsidP="00B64C27">
      <w:pPr>
        <w:pStyle w:val="Akapitzlist"/>
        <w:numPr>
          <w:ilvl w:val="0"/>
          <w:numId w:val="1"/>
        </w:numPr>
        <w:jc w:val="both"/>
        <w:rPr>
          <w:b/>
        </w:rPr>
      </w:pPr>
      <w:r w:rsidRPr="00D7179A">
        <w:rPr>
          <w:b/>
        </w:rPr>
        <w:t xml:space="preserve">Czy </w:t>
      </w:r>
      <w:r w:rsidR="00AB0DD7" w:rsidRPr="00D7179A">
        <w:rPr>
          <w:b/>
        </w:rPr>
        <w:t xml:space="preserve">jeśli w generatorze wniosków zawarte będą tylko pewne elementy </w:t>
      </w:r>
      <w:r w:rsidRPr="00D7179A">
        <w:rPr>
          <w:b/>
        </w:rPr>
        <w:t>studium wykonalności</w:t>
      </w:r>
      <w:r w:rsidR="00AB0DD7" w:rsidRPr="00D7179A">
        <w:rPr>
          <w:b/>
        </w:rPr>
        <w:t>,</w:t>
      </w:r>
      <w:r w:rsidRPr="00D7179A">
        <w:rPr>
          <w:b/>
        </w:rPr>
        <w:t xml:space="preserve"> </w:t>
      </w:r>
      <w:r w:rsidR="00AB0DD7" w:rsidRPr="00D7179A">
        <w:rPr>
          <w:b/>
        </w:rPr>
        <w:t xml:space="preserve">to </w:t>
      </w:r>
      <w:r w:rsidR="00AC0EB7" w:rsidRPr="00D7179A">
        <w:rPr>
          <w:b/>
        </w:rPr>
        <w:t xml:space="preserve">czy i </w:t>
      </w:r>
      <w:r w:rsidR="00AB0DD7" w:rsidRPr="00D7179A">
        <w:rPr>
          <w:b/>
        </w:rPr>
        <w:t>w jakim zakresie kwalifikowalne będą koszty jego przygotowania</w:t>
      </w:r>
      <w:r w:rsidRPr="00D7179A">
        <w:rPr>
          <w:b/>
        </w:rPr>
        <w:t>?</w:t>
      </w:r>
    </w:p>
    <w:p w:rsidR="00F838B2" w:rsidRPr="00D7179A" w:rsidRDefault="00AC0EB7" w:rsidP="00B64C27">
      <w:pPr>
        <w:jc w:val="both"/>
      </w:pPr>
      <w:r w:rsidRPr="00D7179A">
        <w:t xml:space="preserve">Kwalifikowalność wydatków związanych z przygotowaniem studium wykonalności wynika </w:t>
      </w:r>
      <w:r w:rsidRPr="00D7179A">
        <w:br/>
        <w:t xml:space="preserve">z Wytycznych </w:t>
      </w:r>
      <w:r w:rsidRPr="00D7179A">
        <w:rPr>
          <w:rFonts w:eastAsia="Times New Roman" w:cs="Arial"/>
          <w:lang w:eastAsia="pl-PL"/>
        </w:rPr>
        <w:t xml:space="preserve">w zakresie kwalifikowalności wydatków w ramach Europejskiego Funduszu Rozwoju Regionalnego, Europejskiego Funduszu Społecznego oraz Funduszu Spójności na lata 2014-2020. </w:t>
      </w:r>
      <w:r w:rsidR="00234D2B" w:rsidRPr="00D7179A">
        <w:rPr>
          <w:rFonts w:eastAsia="Times New Roman" w:cs="Arial"/>
          <w:lang w:eastAsia="pl-PL"/>
        </w:rPr>
        <w:br/>
      </w:r>
      <w:r w:rsidRPr="00D7179A">
        <w:rPr>
          <w:rFonts w:eastAsia="Times New Roman" w:cs="Arial"/>
          <w:lang w:eastAsia="pl-PL"/>
        </w:rPr>
        <w:t xml:space="preserve">W rozdziale 7.2 przedmiotowych Wytycznych wskazano, iż dokumentacja </w:t>
      </w:r>
      <w:r w:rsidRPr="00D7179A">
        <w:t>niezbędna do przygotowania projektu, tj. biznes plan lub studium wykonalności lub ich elementy są kwalifikowalne.</w:t>
      </w:r>
      <w:r w:rsidR="00F838B2" w:rsidRPr="00D7179A">
        <w:t xml:space="preserve"> Wydatek ten musi być wyraźnie wyodrębniony w dokumencie finansowo-księgowym. </w:t>
      </w:r>
    </w:p>
    <w:p w:rsidR="00F838B2" w:rsidRPr="00D7179A" w:rsidRDefault="00F838B2" w:rsidP="00B64C27">
      <w:pPr>
        <w:jc w:val="both"/>
      </w:pPr>
      <w:r w:rsidRPr="00D7179A">
        <w:t xml:space="preserve">(więcej w Załączniku nr 6 do Szczegółowego opisu osi priorytetowych RPO WD 2014-2020). </w:t>
      </w:r>
    </w:p>
    <w:p w:rsidR="00420738" w:rsidRPr="00D7179A" w:rsidRDefault="00420738" w:rsidP="00B64C27">
      <w:pPr>
        <w:pStyle w:val="Akapitzlist"/>
        <w:numPr>
          <w:ilvl w:val="0"/>
          <w:numId w:val="1"/>
        </w:numPr>
        <w:jc w:val="both"/>
        <w:rPr>
          <w:b/>
        </w:rPr>
      </w:pPr>
      <w:r w:rsidRPr="00D7179A">
        <w:rPr>
          <w:b/>
        </w:rPr>
        <w:t>Czy jeden wnioskodawca może złożyć tylko jeden wniosek w danym naborze</w:t>
      </w:r>
      <w:r w:rsidR="00F838B2" w:rsidRPr="00D7179A">
        <w:rPr>
          <w:b/>
        </w:rPr>
        <w:t xml:space="preserve"> do działania 4.3</w:t>
      </w:r>
      <w:r w:rsidRPr="00D7179A">
        <w:rPr>
          <w:b/>
        </w:rPr>
        <w:t>?</w:t>
      </w:r>
    </w:p>
    <w:p w:rsidR="00F838B2" w:rsidRPr="00D7179A" w:rsidRDefault="00F838B2" w:rsidP="00B64C27">
      <w:pPr>
        <w:jc w:val="both"/>
      </w:pPr>
      <w:r w:rsidRPr="00D7179A">
        <w:t>Nie wskazano takiego ograniczenia w naborach do działania 4.3 Dziedzictwo kulturowe.</w:t>
      </w:r>
    </w:p>
    <w:p w:rsidR="00420738" w:rsidRPr="00D7179A" w:rsidRDefault="00420738" w:rsidP="00B64C27">
      <w:pPr>
        <w:pStyle w:val="Akapitzlist"/>
        <w:numPr>
          <w:ilvl w:val="0"/>
          <w:numId w:val="1"/>
        </w:numPr>
        <w:jc w:val="both"/>
        <w:rPr>
          <w:b/>
        </w:rPr>
      </w:pPr>
      <w:r w:rsidRPr="00D7179A">
        <w:rPr>
          <w:b/>
        </w:rPr>
        <w:t>Czy wymagania dot. obowiązku wpisu do rejestru zabytków dot. też projektów w typie 4.3.B</w:t>
      </w:r>
      <w:r w:rsidR="00F838B2" w:rsidRPr="00D7179A">
        <w:rPr>
          <w:b/>
        </w:rPr>
        <w:t xml:space="preserve"> (dot. instytucji kultury)</w:t>
      </w:r>
      <w:r w:rsidRPr="00D7179A">
        <w:rPr>
          <w:b/>
        </w:rPr>
        <w:t>?</w:t>
      </w:r>
    </w:p>
    <w:p w:rsidR="00234D2B" w:rsidRPr="00D7179A" w:rsidRDefault="00F838B2" w:rsidP="00B64C27">
      <w:pPr>
        <w:jc w:val="both"/>
      </w:pPr>
      <w:r w:rsidRPr="00D7179A">
        <w:t xml:space="preserve">Nie. </w:t>
      </w:r>
      <w:r w:rsidR="00234D2B" w:rsidRPr="00D7179A">
        <w:t>Zapis odnośnie obowiązku wpisu do rejestru zabytków dot. tylko typu 4.3.A.</w:t>
      </w:r>
    </w:p>
    <w:p w:rsidR="00F838B2" w:rsidRPr="00D7179A" w:rsidRDefault="00F838B2" w:rsidP="00B64C27">
      <w:pPr>
        <w:jc w:val="both"/>
      </w:pPr>
      <w:r w:rsidRPr="00D7179A">
        <w:t xml:space="preserve">Nabór na 4.3.B dot. </w:t>
      </w:r>
      <w:r w:rsidR="00234D2B" w:rsidRPr="00D7179A">
        <w:t xml:space="preserve">wszystkich </w:t>
      </w:r>
      <w:r w:rsidRPr="00D7179A">
        <w:t>obiektów instytucji kultury</w:t>
      </w:r>
      <w:r w:rsidR="00234D2B" w:rsidRPr="00D7179A">
        <w:t xml:space="preserve"> (mogą być to także obiekty wpisane do rejestru zabytków, ale nie muszą).</w:t>
      </w:r>
    </w:p>
    <w:p w:rsidR="00420738" w:rsidRPr="00D7179A" w:rsidRDefault="00420738" w:rsidP="00B64C27">
      <w:pPr>
        <w:pStyle w:val="Akapitzlist"/>
        <w:numPr>
          <w:ilvl w:val="0"/>
          <w:numId w:val="1"/>
        </w:numPr>
        <w:jc w:val="both"/>
        <w:rPr>
          <w:b/>
        </w:rPr>
      </w:pPr>
      <w:r w:rsidRPr="00D7179A">
        <w:rPr>
          <w:b/>
        </w:rPr>
        <w:t>Czy pomoc de minimis kumuluje się przedmiotowo czy podmiotowo?</w:t>
      </w:r>
    </w:p>
    <w:p w:rsidR="00234D2B" w:rsidRPr="00D7179A" w:rsidRDefault="00234D2B" w:rsidP="00B64C27">
      <w:pPr>
        <w:jc w:val="both"/>
      </w:pPr>
      <w:r w:rsidRPr="00D7179A">
        <w:t xml:space="preserve">Kwota pomocy </w:t>
      </w:r>
      <w:r w:rsidRPr="00D7179A">
        <w:rPr>
          <w:i/>
          <w:iCs/>
        </w:rPr>
        <w:t xml:space="preserve">de minimis </w:t>
      </w:r>
      <w:r w:rsidRPr="00D7179A">
        <w:t xml:space="preserve">nie może przekroczyć 200 tys. Euro na beneficjenta (jest to maksymalny limit pomocy </w:t>
      </w:r>
      <w:r w:rsidRPr="00D7179A">
        <w:rPr>
          <w:i/>
        </w:rPr>
        <w:t>de minimis</w:t>
      </w:r>
      <w:r w:rsidRPr="00D7179A">
        <w:t xml:space="preserve"> jaki może otrzymać </w:t>
      </w:r>
      <w:r w:rsidRPr="00D7179A">
        <w:rPr>
          <w:u w:val="single"/>
        </w:rPr>
        <w:t>dany podmiot</w:t>
      </w:r>
      <w:r w:rsidRPr="00D7179A">
        <w:t xml:space="preserve"> w okresie 3 lat).</w:t>
      </w:r>
    </w:p>
    <w:p w:rsidR="00420738" w:rsidRPr="00D7179A" w:rsidRDefault="00420738" w:rsidP="00B64C27">
      <w:pPr>
        <w:pStyle w:val="Akapitzlist"/>
        <w:numPr>
          <w:ilvl w:val="0"/>
          <w:numId w:val="1"/>
        </w:numPr>
        <w:jc w:val="both"/>
        <w:rPr>
          <w:b/>
        </w:rPr>
      </w:pPr>
      <w:r w:rsidRPr="00D7179A">
        <w:rPr>
          <w:b/>
        </w:rPr>
        <w:t xml:space="preserve">Jeśli projekt dot. instytucji kultury w zabytku – czy będzie realizował oba </w:t>
      </w:r>
      <w:r w:rsidR="008E0EEF" w:rsidRPr="00D7179A">
        <w:rPr>
          <w:b/>
        </w:rPr>
        <w:t>wskaźniki</w:t>
      </w:r>
      <w:r w:rsidRPr="00D7179A">
        <w:rPr>
          <w:b/>
        </w:rPr>
        <w:t xml:space="preserve"> produktu obowiązujące dla naboru?</w:t>
      </w:r>
    </w:p>
    <w:p w:rsidR="00234D2B" w:rsidRPr="00D7179A" w:rsidRDefault="00234D2B" w:rsidP="00B64C27">
      <w:pPr>
        <w:jc w:val="both"/>
      </w:pPr>
      <w:r w:rsidRPr="00D7179A">
        <w:t>Tak. Projekt taki będzie realizował oba wskaźniki produktu.</w:t>
      </w:r>
    </w:p>
    <w:p w:rsidR="00234D2B" w:rsidRPr="00D7179A" w:rsidRDefault="00420738" w:rsidP="00B64C27">
      <w:pPr>
        <w:pStyle w:val="Akapitzlist"/>
        <w:numPr>
          <w:ilvl w:val="0"/>
          <w:numId w:val="1"/>
        </w:numPr>
        <w:jc w:val="both"/>
        <w:rPr>
          <w:b/>
        </w:rPr>
      </w:pPr>
      <w:r w:rsidRPr="00D7179A">
        <w:rPr>
          <w:b/>
        </w:rPr>
        <w:t>Zasady kwalifikowania kosztów osobowych w projektach</w:t>
      </w:r>
      <w:r w:rsidR="00234D2B" w:rsidRPr="00D7179A">
        <w:rPr>
          <w:b/>
        </w:rPr>
        <w:t xml:space="preserve"> finansowanych z EFRR.</w:t>
      </w:r>
    </w:p>
    <w:p w:rsidR="001114F6" w:rsidRPr="00D7179A" w:rsidRDefault="001114F6" w:rsidP="00B64C27">
      <w:pPr>
        <w:pStyle w:val="Akapitzlist"/>
        <w:jc w:val="both"/>
        <w:rPr>
          <w:b/>
        </w:rPr>
      </w:pPr>
    </w:p>
    <w:p w:rsidR="00234D2B" w:rsidRPr="00D7179A" w:rsidRDefault="00234D2B" w:rsidP="00B64C27">
      <w:pPr>
        <w:pStyle w:val="Akapitzlist"/>
        <w:spacing w:after="0"/>
        <w:ind w:left="0"/>
        <w:jc w:val="both"/>
      </w:pPr>
      <w:r w:rsidRPr="00D7179A">
        <w:t xml:space="preserve">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w:t>
      </w:r>
      <w:r w:rsidRPr="00D7179A">
        <w:lastRenderedPageBreak/>
        <w:t>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p>
    <w:p w:rsidR="00234D2B" w:rsidRPr="00D7179A" w:rsidRDefault="00234D2B" w:rsidP="00B64C27">
      <w:pPr>
        <w:pStyle w:val="Akapitzlist"/>
        <w:numPr>
          <w:ilvl w:val="0"/>
          <w:numId w:val="4"/>
        </w:numPr>
        <w:spacing w:after="0"/>
        <w:jc w:val="both"/>
      </w:pPr>
      <w:r w:rsidRPr="00D7179A">
        <w:t>ww. osoba jest bezpośrednio zaangażowana w wykonywanie ww. czynności w ramach projektu;</w:t>
      </w:r>
    </w:p>
    <w:p w:rsidR="00234D2B" w:rsidRPr="00D7179A" w:rsidRDefault="00234D2B" w:rsidP="00B64C27">
      <w:pPr>
        <w:pStyle w:val="Akapitzlist"/>
        <w:numPr>
          <w:ilvl w:val="0"/>
          <w:numId w:val="4"/>
        </w:numPr>
        <w:spacing w:after="0"/>
        <w:jc w:val="both"/>
      </w:pPr>
      <w:r w:rsidRPr="00D7179A">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234D2B" w:rsidRPr="00D7179A" w:rsidRDefault="00234D2B" w:rsidP="00B64C27">
      <w:pPr>
        <w:pStyle w:val="Akapitzlist"/>
        <w:numPr>
          <w:ilvl w:val="0"/>
          <w:numId w:val="5"/>
        </w:numPr>
        <w:spacing w:after="0"/>
        <w:jc w:val="both"/>
      </w:pPr>
      <w:r w:rsidRPr="00D7179A">
        <w:t>wydatki ponoszone są wyłącznie w okresie realizacji projektu oraz za okres, w którym ww. osoba wykonywała faktycznie czynności związane w ramach projektu.</w:t>
      </w:r>
    </w:p>
    <w:p w:rsidR="00234D2B" w:rsidRPr="00D7179A" w:rsidRDefault="00234D2B" w:rsidP="00B64C27">
      <w:pPr>
        <w:jc w:val="both"/>
      </w:pPr>
      <w:r w:rsidRPr="00D7179A">
        <w:t xml:space="preserve">(patrz Załącznik nr 6 do Szczegółowego opisu osi priorytetowych RPO WD 2014-2020). </w:t>
      </w:r>
    </w:p>
    <w:p w:rsidR="00420738" w:rsidRPr="00D7179A" w:rsidRDefault="00420738" w:rsidP="00B64C27">
      <w:pPr>
        <w:pStyle w:val="Akapitzlist"/>
        <w:numPr>
          <w:ilvl w:val="0"/>
          <w:numId w:val="1"/>
        </w:numPr>
        <w:jc w:val="both"/>
        <w:rPr>
          <w:b/>
        </w:rPr>
      </w:pPr>
      <w:r w:rsidRPr="00D7179A">
        <w:rPr>
          <w:b/>
        </w:rPr>
        <w:t xml:space="preserve">Czy beneficjent z obszaru ZIT może aplikować do naboru przeznaczonego dla OSI lub </w:t>
      </w:r>
      <w:r w:rsidR="00955C6C" w:rsidRPr="00D7179A">
        <w:rPr>
          <w:b/>
        </w:rPr>
        <w:br/>
      </w:r>
      <w:r w:rsidRPr="00D7179A">
        <w:rPr>
          <w:b/>
        </w:rPr>
        <w:t>w horyzontalnym?</w:t>
      </w:r>
    </w:p>
    <w:p w:rsidR="001B6529" w:rsidRPr="00D7179A" w:rsidRDefault="000E241B" w:rsidP="00B64C27">
      <w:pPr>
        <w:jc w:val="both"/>
      </w:pPr>
      <w:r w:rsidRPr="00D7179A">
        <w:t>Co do zasady beneficjenci z obszaru ZIT startują w konkursach skierowanych do poszczególnych  ZIT, chyba, że w Harmonogramie naborów określono inaczej</w:t>
      </w:r>
      <w:r w:rsidR="001B6529" w:rsidRPr="00D7179A">
        <w:t xml:space="preserve"> (mogą wystąpić nabory horyzontalne, </w:t>
      </w:r>
      <w:r w:rsidR="00D24E60">
        <w:br/>
      </w:r>
      <w:r w:rsidR="001B6529" w:rsidRPr="00D7179A">
        <w:t>w których aplikować będą beneficjenci z obszaru ZIT – uzależnione jest to wtedy od charakteru lub zasięgu projektów i określone z Harmonogramie naborów)</w:t>
      </w:r>
      <w:r w:rsidR="00D24E60">
        <w:t>.</w:t>
      </w:r>
    </w:p>
    <w:p w:rsidR="001B6529" w:rsidRPr="00D7179A" w:rsidRDefault="001B6529" w:rsidP="001B6529">
      <w:pPr>
        <w:pStyle w:val="Nagwek"/>
        <w:spacing w:before="120" w:after="120"/>
        <w:jc w:val="both"/>
      </w:pPr>
      <w:r w:rsidRPr="00D7179A">
        <w:t>Odnośnie naboru:</w:t>
      </w:r>
    </w:p>
    <w:p w:rsidR="001B6529" w:rsidRPr="00D7179A" w:rsidRDefault="001B6529" w:rsidP="001B6529">
      <w:pPr>
        <w:pStyle w:val="Nagwek"/>
        <w:numPr>
          <w:ilvl w:val="0"/>
          <w:numId w:val="5"/>
        </w:numPr>
        <w:spacing w:before="120" w:after="120"/>
        <w:jc w:val="both"/>
        <w:rPr>
          <w:rStyle w:val="Odwoaniedokomentarza"/>
          <w:sz w:val="22"/>
          <w:szCs w:val="22"/>
        </w:rPr>
      </w:pPr>
      <w:r w:rsidRPr="00D7179A">
        <w:t xml:space="preserve">do poddziałania 4.3.2 – zgodnie z zapisami Regulaminu konkursu: </w:t>
      </w:r>
      <w:r w:rsidRPr="00D7179A">
        <w:rPr>
          <w:rFonts w:cs="Calibri"/>
          <w:b/>
          <w:u w:val="single"/>
        </w:rPr>
        <w:t>Nabór w trybie konkursowym – dla beneficjentów z obszaru ZIT WrOF;</w:t>
      </w:r>
    </w:p>
    <w:p w:rsidR="001B6529" w:rsidRPr="00D7179A" w:rsidRDefault="001B6529" w:rsidP="001B6529">
      <w:pPr>
        <w:pStyle w:val="Nagwek"/>
        <w:numPr>
          <w:ilvl w:val="0"/>
          <w:numId w:val="5"/>
        </w:numPr>
        <w:spacing w:before="120" w:after="120"/>
        <w:jc w:val="both"/>
      </w:pPr>
      <w:r w:rsidRPr="00D7179A">
        <w:t>do poddziałania 4.3.3 zgodnie z zapisami Regulaminu konkursu:</w:t>
      </w:r>
      <w:r w:rsidRPr="00D7179A">
        <w:rPr>
          <w:rFonts w:cs="Calibri"/>
          <w:b/>
          <w:u w:val="single"/>
        </w:rPr>
        <w:t xml:space="preserve"> Nabór w trybie konkursowym – dla beneficjentów z obszaru ZIT AJ.</w:t>
      </w:r>
      <w:r w:rsidRPr="00D7179A">
        <w:rPr>
          <w:rFonts w:cs="Calibri"/>
          <w:b/>
        </w:rPr>
        <w:tab/>
      </w:r>
    </w:p>
    <w:p w:rsidR="000E241B" w:rsidRPr="00D7179A" w:rsidRDefault="000E241B" w:rsidP="001B6529">
      <w:pPr>
        <w:pStyle w:val="Nagwek"/>
        <w:spacing w:before="120" w:after="120"/>
        <w:ind w:left="720"/>
        <w:jc w:val="both"/>
      </w:pPr>
    </w:p>
    <w:p w:rsidR="00420738" w:rsidRPr="00D7179A" w:rsidRDefault="00420738" w:rsidP="00B64C27">
      <w:pPr>
        <w:pStyle w:val="Akapitzlist"/>
        <w:numPr>
          <w:ilvl w:val="0"/>
          <w:numId w:val="1"/>
        </w:numPr>
        <w:jc w:val="both"/>
        <w:rPr>
          <w:b/>
        </w:rPr>
      </w:pPr>
      <w:r w:rsidRPr="00D7179A">
        <w:rPr>
          <w:b/>
        </w:rPr>
        <w:t xml:space="preserve">Jak jest rola Zarządu Województwa Dolnośląskiego </w:t>
      </w:r>
      <w:r w:rsidR="00955C6C" w:rsidRPr="00D7179A">
        <w:rPr>
          <w:b/>
        </w:rPr>
        <w:t xml:space="preserve">(ZWD) </w:t>
      </w:r>
      <w:r w:rsidRPr="00D7179A">
        <w:rPr>
          <w:b/>
        </w:rPr>
        <w:t>w procesie oceny i wyboru wniosków?</w:t>
      </w:r>
    </w:p>
    <w:p w:rsidR="00955C6C" w:rsidRPr="00D7179A" w:rsidRDefault="00955C6C" w:rsidP="00B64C27">
      <w:pPr>
        <w:jc w:val="both"/>
        <w:rPr>
          <w:rFonts w:cs="Calibri"/>
        </w:rPr>
      </w:pPr>
      <w:r w:rsidRPr="00D7179A">
        <w:rPr>
          <w:rFonts w:cs="Calibri"/>
        </w:rPr>
        <w:t xml:space="preserve">Zarząd Województwa Dolnośląskiego zatwierdza „Listę ocenionych projektów”, o której mowa w art. 44 ust. 4 ustawy wdrożeniowej, co jest równoznaczne z rozstrzygnięciem konkursu (ZWD nie bierze udziału w procesie oceny projektów). </w:t>
      </w:r>
    </w:p>
    <w:p w:rsidR="00955C6C" w:rsidRPr="00D7179A" w:rsidRDefault="00955C6C" w:rsidP="00B64C27">
      <w:pPr>
        <w:jc w:val="both"/>
        <w:rPr>
          <w:rFonts w:cs="Calibri"/>
        </w:rPr>
      </w:pPr>
      <w:r w:rsidRPr="00D7179A">
        <w:rPr>
          <w:rFonts w:cs="Calibri"/>
        </w:rPr>
        <w:t xml:space="preserve">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w:t>
      </w:r>
    </w:p>
    <w:p w:rsidR="00955C6C" w:rsidRPr="00D7179A" w:rsidRDefault="00955C6C" w:rsidP="00B64C27">
      <w:pPr>
        <w:jc w:val="both"/>
      </w:pPr>
      <w:r w:rsidRPr="00D7179A">
        <w:rPr>
          <w:rFonts w:cs="Calibri"/>
        </w:rPr>
        <w:t xml:space="preserve">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D7179A">
        <w:rPr>
          <w:rFonts w:cs="Calibri"/>
        </w:rPr>
        <w:br/>
        <w:t xml:space="preserve">z wyróżnieniem projektów wybranych do dofinansowania zamieszczana jest na stronie internetowej </w:t>
      </w:r>
      <w:hyperlink r:id="rId7" w:history="1">
        <w:r w:rsidRPr="00D7179A">
          <w:rPr>
            <w:rStyle w:val="Hipercze"/>
            <w:rFonts w:cs="Calibri"/>
            <w:color w:val="auto"/>
          </w:rPr>
          <w:t>www.rpo.dolnyslask.pl</w:t>
        </w:r>
      </w:hyperlink>
      <w:r w:rsidRPr="00D7179A">
        <w:rPr>
          <w:rFonts w:cs="Calibri"/>
        </w:rPr>
        <w:t xml:space="preserve"> oraz </w:t>
      </w:r>
      <w:hyperlink r:id="rId8" w:history="1">
        <w:r w:rsidRPr="00D7179A">
          <w:rPr>
            <w:rStyle w:val="Hipercze"/>
            <w:rFonts w:cs="Calibri"/>
            <w:color w:val="auto"/>
          </w:rPr>
          <w:t>www.funduszeeuropejskie.gov.pl</w:t>
        </w:r>
      </w:hyperlink>
      <w:r w:rsidRPr="00D7179A">
        <w:rPr>
          <w:rFonts w:cs="Calibri"/>
        </w:rPr>
        <w:t xml:space="preserve">. </w:t>
      </w:r>
    </w:p>
    <w:p w:rsidR="00420738" w:rsidRPr="00D7179A" w:rsidRDefault="000D5749" w:rsidP="00B64C27">
      <w:pPr>
        <w:pStyle w:val="Akapitzlist"/>
        <w:numPr>
          <w:ilvl w:val="0"/>
          <w:numId w:val="1"/>
        </w:numPr>
        <w:jc w:val="both"/>
        <w:rPr>
          <w:b/>
        </w:rPr>
      </w:pPr>
      <w:r w:rsidRPr="00D7179A">
        <w:rPr>
          <w:b/>
        </w:rPr>
        <w:lastRenderedPageBreak/>
        <w:t>Czy IZ RPO WD planuje wydać Wytyczne do opracowania studium wykonalności?</w:t>
      </w:r>
    </w:p>
    <w:p w:rsidR="00AC0EB7" w:rsidRPr="00D7179A" w:rsidRDefault="00955C6C" w:rsidP="00B64C27">
      <w:pPr>
        <w:jc w:val="both"/>
      </w:pPr>
      <w:r w:rsidRPr="00D7179A">
        <w:t xml:space="preserve">Nie przewidziano odrębnych wytycznych IZ RPO WD do sporządzania studium wykonalności. Wymogi dotyczące zakresu informacji, jakie muszą się znaleźć w poszczególnych punktach w zakładce </w:t>
      </w:r>
      <w:r w:rsidRPr="00D7179A">
        <w:rPr>
          <w:i/>
        </w:rPr>
        <w:t>Studium wykonalności</w:t>
      </w:r>
      <w:r w:rsidRPr="00D7179A">
        <w:t xml:space="preserve"> zawarte są w instrukcji wypełnienia wniosku o dofinansowanie. Ponadto Wnioskodawcy zobowiązani są do przedłożenia analizy finansowej w postaci arkuszy kalkulacyjnych w formacie Excel z aktywnymi formułami.</w:t>
      </w:r>
    </w:p>
    <w:p w:rsidR="00AC0EB7" w:rsidRPr="00D7179A" w:rsidRDefault="00955C6C" w:rsidP="00B64C27">
      <w:pPr>
        <w:jc w:val="both"/>
      </w:pPr>
      <w:r w:rsidRPr="00D7179A">
        <w:t xml:space="preserve">Na stronie internetowej </w:t>
      </w:r>
      <w:hyperlink r:id="rId9" w:history="1">
        <w:r w:rsidRPr="00D7179A">
          <w:rPr>
            <w:rStyle w:val="Hipercze"/>
            <w:color w:val="auto"/>
          </w:rPr>
          <w:t>www.rpo.dolnyslask.pl</w:t>
        </w:r>
      </w:hyperlink>
      <w:r w:rsidRPr="00D7179A">
        <w:t xml:space="preserve"> w zakładce: </w:t>
      </w:r>
      <w:r w:rsidRPr="00D7179A">
        <w:rPr>
          <w:i/>
        </w:rPr>
        <w:t xml:space="preserve">RPO 2014 2020 &gt; Dowiedz się więcej </w:t>
      </w:r>
      <w:r w:rsidRPr="00D7179A">
        <w:rPr>
          <w:i/>
        </w:rPr>
        <w:br/>
        <w:t xml:space="preserve">o programie &gt; Pobierz poradniki i publikacje </w:t>
      </w:r>
      <w:r w:rsidRPr="00D7179A">
        <w:t xml:space="preserve">zamieszczono opracowanie pn. „Analiza finansowa na potrzeby aplikacji o środki Europejskiego Funduszu Rozwoju Regionalnego w ramach RPO WD 2014 – 2020 - przykłady” zawierające przykładowe tabele (puste) oraz fikcyjną analizę finansową dla </w:t>
      </w:r>
      <w:r w:rsidRPr="00D7179A">
        <w:br/>
        <w:t xml:space="preserve">4 różnych rodzajów projektów. W zakładce: </w:t>
      </w:r>
      <w:r w:rsidRPr="00D7179A">
        <w:rPr>
          <w:i/>
        </w:rPr>
        <w:t>RPO 2014 2020</w:t>
      </w:r>
      <w:r w:rsidRPr="00D7179A">
        <w:t xml:space="preserve"> &gt; </w:t>
      </w:r>
      <w:r w:rsidRPr="00D7179A">
        <w:rPr>
          <w:i/>
        </w:rPr>
        <w:t xml:space="preserve">Skorzystaj z programu &gt;  Jak zacząć korzystać z programu &gt; Wypełnienie wniosku </w:t>
      </w:r>
      <w:r w:rsidRPr="00D7179A">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446DCE" w:rsidRPr="00D7179A" w:rsidRDefault="00305121" w:rsidP="00B64C27">
      <w:pPr>
        <w:pStyle w:val="Akapitzlist"/>
        <w:numPr>
          <w:ilvl w:val="0"/>
          <w:numId w:val="1"/>
        </w:numPr>
        <w:jc w:val="both"/>
        <w:rPr>
          <w:b/>
        </w:rPr>
      </w:pPr>
      <w:r w:rsidRPr="00D7179A">
        <w:rPr>
          <w:b/>
        </w:rPr>
        <w:t xml:space="preserve">Czy </w:t>
      </w:r>
      <w:r w:rsidR="005278CB" w:rsidRPr="00D7179A">
        <w:rPr>
          <w:b/>
        </w:rPr>
        <w:t xml:space="preserve">w typie 4.3.A ograniczenie </w:t>
      </w:r>
      <w:r w:rsidRPr="00D7179A">
        <w:rPr>
          <w:b/>
        </w:rPr>
        <w:t>koszt</w:t>
      </w:r>
      <w:r w:rsidR="005278CB" w:rsidRPr="00D7179A">
        <w:rPr>
          <w:b/>
        </w:rPr>
        <w:t>u</w:t>
      </w:r>
      <w:r w:rsidRPr="00D7179A">
        <w:rPr>
          <w:b/>
        </w:rPr>
        <w:t xml:space="preserve"> infrastruktury towarzyszącej </w:t>
      </w:r>
      <w:r w:rsidR="005278CB" w:rsidRPr="00D7179A">
        <w:rPr>
          <w:b/>
        </w:rPr>
        <w:t>do</w:t>
      </w:r>
      <w:r w:rsidRPr="00D7179A">
        <w:rPr>
          <w:b/>
        </w:rPr>
        <w:t xml:space="preserve"> 15% </w:t>
      </w:r>
      <w:r w:rsidR="005278CB" w:rsidRPr="00D7179A">
        <w:rPr>
          <w:b/>
        </w:rPr>
        <w:t>dotyczy faktycznie wartości projektu czy kosztów kwalifikowalnych</w:t>
      </w:r>
      <w:r w:rsidRPr="00D7179A">
        <w:rPr>
          <w:b/>
        </w:rPr>
        <w:t>?</w:t>
      </w:r>
    </w:p>
    <w:p w:rsidR="001114F6" w:rsidRPr="00D7179A" w:rsidRDefault="001B6529" w:rsidP="001B6529">
      <w:pPr>
        <w:jc w:val="both"/>
      </w:pPr>
      <w:r w:rsidRPr="00D7179A">
        <w:t xml:space="preserve">W załączniku nr 6 do SZOOP określone zostało, że niekwalifikowane są w ramach 4.3: wydatki na infrastrukturę towarzyszącą (np. drogi, chodniki, parkingi) stanowiące powyżej 15% </w:t>
      </w:r>
      <w:r w:rsidRPr="00D7179A">
        <w:rPr>
          <w:b/>
          <w:bCs/>
          <w:u w:val="single"/>
        </w:rPr>
        <w:t>całkowitych kosztów kwalifikowalnych</w:t>
      </w:r>
      <w:r w:rsidRPr="00D7179A">
        <w:t xml:space="preserve"> projektu (str. 10 załącznika nr 6).</w:t>
      </w:r>
    </w:p>
    <w:p w:rsidR="001B6529" w:rsidRPr="00D7179A" w:rsidRDefault="001B6529" w:rsidP="001B6529">
      <w:pPr>
        <w:jc w:val="both"/>
        <w:rPr>
          <w:b/>
        </w:rPr>
      </w:pPr>
      <w:r w:rsidRPr="00D7179A">
        <w:rPr>
          <w:b/>
        </w:rPr>
        <w:t>Ograniczenie kosztu infrastruktury towarzyszącej do 15% dotyczy zatem całkowitych kosztów kwalifikowalnych projektu.</w:t>
      </w:r>
    </w:p>
    <w:p w:rsidR="00305121" w:rsidRPr="00D7179A" w:rsidRDefault="00305121" w:rsidP="00B64C27">
      <w:pPr>
        <w:pStyle w:val="Akapitzlist"/>
        <w:numPr>
          <w:ilvl w:val="0"/>
          <w:numId w:val="1"/>
        </w:numPr>
        <w:jc w:val="both"/>
        <w:rPr>
          <w:b/>
        </w:rPr>
      </w:pPr>
      <w:r w:rsidRPr="00D7179A">
        <w:rPr>
          <w:b/>
        </w:rPr>
        <w:t xml:space="preserve">Jak rozumieć </w:t>
      </w:r>
      <w:r w:rsidR="006424F7" w:rsidRPr="00D7179A">
        <w:rPr>
          <w:b/>
        </w:rPr>
        <w:t>„uzupełniający element</w:t>
      </w:r>
      <w:r w:rsidRPr="00D7179A">
        <w:rPr>
          <w:b/>
        </w:rPr>
        <w:t>”</w:t>
      </w:r>
      <w:r w:rsidR="006424F7" w:rsidRPr="00D7179A">
        <w:rPr>
          <w:b/>
        </w:rPr>
        <w:t xml:space="preserve"> w typie 4.3.A</w:t>
      </w:r>
      <w:r w:rsidRPr="00D7179A">
        <w:rPr>
          <w:b/>
        </w:rPr>
        <w:t>, czy poprzez zakres pracy czy zakres finansowy? Jaki udział w projekcie</w:t>
      </w:r>
      <w:r w:rsidR="001114F6" w:rsidRPr="00D7179A">
        <w:rPr>
          <w:b/>
        </w:rPr>
        <w:t xml:space="preserve"> mogą stanowić takie działania?</w:t>
      </w:r>
    </w:p>
    <w:p w:rsidR="001114F6" w:rsidRPr="00D7179A" w:rsidRDefault="005278CB" w:rsidP="00B64C27">
      <w:pPr>
        <w:jc w:val="both"/>
      </w:pPr>
      <w:r w:rsidRPr="00D7179A">
        <w:t>Uzupełniający element = koszty związane z realizacją wymienionych elementów muszą stanowić mniej niż 50% kosztów kwalifikowalnych.</w:t>
      </w:r>
    </w:p>
    <w:p w:rsidR="00305121" w:rsidRPr="00D7179A" w:rsidRDefault="00305121" w:rsidP="00B64C27">
      <w:pPr>
        <w:pStyle w:val="Akapitzlist"/>
        <w:numPr>
          <w:ilvl w:val="0"/>
          <w:numId w:val="1"/>
        </w:numPr>
        <w:jc w:val="both"/>
        <w:rPr>
          <w:b/>
        </w:rPr>
      </w:pPr>
      <w:r w:rsidRPr="00D7179A">
        <w:rPr>
          <w:b/>
        </w:rPr>
        <w:t xml:space="preserve">Czy jeżeli zostanie przedłużony termin naboru, to czy daty ostatecznego złożenia wniosku </w:t>
      </w:r>
      <w:r w:rsidR="00AD1319" w:rsidRPr="00D7179A">
        <w:rPr>
          <w:b/>
        </w:rPr>
        <w:br/>
      </w:r>
      <w:r w:rsidRPr="00D7179A">
        <w:rPr>
          <w:b/>
        </w:rPr>
        <w:t>o płatność również zostaną przesunięte?</w:t>
      </w:r>
    </w:p>
    <w:p w:rsidR="001114F6" w:rsidRPr="00D7179A" w:rsidRDefault="00AD1319" w:rsidP="00B64C27">
      <w:pPr>
        <w:jc w:val="both"/>
      </w:pPr>
      <w:r w:rsidRPr="00D7179A">
        <w:t xml:space="preserve">Co do zasady w wymienionej sytuacji daty ostatecznego złożenia wniosku o płatność powinny być także przesunięte – każdorazowo jednak Zarząd Województwa Dolnośląskiego podejmując taką decyzję musi wziąć pod uwagę szereg uwarunkowań, w szczególności ryzyko nieosiągnięcia wskaźników wymienionych w Ramach Wykonania dla danej osi priorytetowej (co spowodować może obcięcie dostępnych dla województwa dolnośląskiego </w:t>
      </w:r>
      <w:r w:rsidR="00B64C27" w:rsidRPr="00D7179A">
        <w:t>środków</w:t>
      </w:r>
      <w:r w:rsidRPr="00D7179A">
        <w:t xml:space="preserve"> w ramach </w:t>
      </w:r>
      <w:r w:rsidR="00B64C27" w:rsidRPr="00D7179A">
        <w:t>RPO</w:t>
      </w:r>
      <w:r w:rsidRPr="00D7179A">
        <w:t>).</w:t>
      </w:r>
    </w:p>
    <w:p w:rsidR="00305121" w:rsidRPr="00D7179A" w:rsidRDefault="00305121" w:rsidP="00B64C27">
      <w:pPr>
        <w:pStyle w:val="Akapitzlist"/>
        <w:numPr>
          <w:ilvl w:val="0"/>
          <w:numId w:val="1"/>
        </w:numPr>
        <w:jc w:val="both"/>
        <w:rPr>
          <w:b/>
        </w:rPr>
      </w:pPr>
      <w:r w:rsidRPr="00D7179A">
        <w:rPr>
          <w:b/>
        </w:rPr>
        <w:t>W jakim zakresie i na jakiej próbie należy przeprowadzić analizę popytu, aby była ona wiarygodna?</w:t>
      </w:r>
    </w:p>
    <w:p w:rsidR="001114F6" w:rsidRPr="00D7179A" w:rsidRDefault="001114F6" w:rsidP="00B64C27">
      <w:pPr>
        <w:pStyle w:val="Akapitzlist"/>
        <w:rPr>
          <w:b/>
        </w:rPr>
      </w:pPr>
    </w:p>
    <w:p w:rsidR="00B64C27" w:rsidRPr="00D7179A" w:rsidRDefault="00B64C27" w:rsidP="00B64C27">
      <w:pPr>
        <w:snapToGrid w:val="0"/>
        <w:spacing w:after="0"/>
        <w:jc w:val="both"/>
        <w:rPr>
          <w:rFonts w:cs="Arial"/>
        </w:rPr>
      </w:pPr>
      <w:r w:rsidRPr="00D7179A">
        <w:rPr>
          <w:rFonts w:cs="Arial"/>
        </w:rPr>
        <w:t xml:space="preserve">W ramach kryterium Analiza popytu będzie sprawdzane </w:t>
      </w:r>
      <w:r w:rsidRPr="00D7179A">
        <w:rPr>
          <w:rFonts w:eastAsia="Times New Roman" w:cs="Arial"/>
        </w:rPr>
        <w:t xml:space="preserve">czy dla inwestycji została przygotowana </w:t>
      </w:r>
      <w:r w:rsidRPr="00D7179A">
        <w:rPr>
          <w:rFonts w:eastAsia="Times New Roman" w:cs="Arial"/>
          <w:u w:val="single"/>
        </w:rPr>
        <w:t>wiarygodna</w:t>
      </w:r>
      <w:r w:rsidRPr="00D7179A">
        <w:rPr>
          <w:rFonts w:eastAsia="Times New Roman" w:cs="Arial"/>
        </w:rPr>
        <w:t xml:space="preserve"> analiza popytu (</w:t>
      </w:r>
      <w:r w:rsidRPr="00D7179A">
        <w:rPr>
          <w:rFonts w:cs="Arial"/>
        </w:rPr>
        <w:t xml:space="preserve">wykazująca zapotrzebowanie na realizację danego projektu, w tym </w:t>
      </w:r>
      <w:r w:rsidRPr="00D7179A">
        <w:rPr>
          <w:rFonts w:cs="Arial"/>
        </w:rPr>
        <w:lastRenderedPageBreak/>
        <w:t>wiarygodność przedstawionych wskaźników w szczególności w aspekcie szacowanej liczby odwiedzających).</w:t>
      </w:r>
    </w:p>
    <w:p w:rsidR="00DA0C18" w:rsidRPr="00D7179A" w:rsidRDefault="00DA0C18" w:rsidP="00DA0C18">
      <w:pPr>
        <w:jc w:val="both"/>
        <w:rPr>
          <w:b/>
        </w:rPr>
      </w:pPr>
      <w:r w:rsidRPr="00D7179A">
        <w:t>Jak można przeczytać w definicji wskaźnika rezultatu bezpośredniego dla działania 4.3: Pomiar wskaźnika dokonywany jest m.in. poprzez prowadzenie ewidencji odwiedzin,  ewidencji sprzedanych biletów, listy obecności uczestników warsztatów/spotkań, rejestracji internetowej lub poprzez inne formy prowadzenia statystyki odwiedzin.</w:t>
      </w:r>
    </w:p>
    <w:p w:rsidR="00B64C27" w:rsidRPr="00D7179A" w:rsidRDefault="00DA0C18" w:rsidP="00B64C27">
      <w:pPr>
        <w:snapToGrid w:val="0"/>
        <w:spacing w:after="0"/>
        <w:jc w:val="both"/>
        <w:rPr>
          <w:rFonts w:cs="Arial"/>
        </w:rPr>
      </w:pPr>
      <w:r w:rsidRPr="00D7179A">
        <w:rPr>
          <w:rFonts w:cs="Arial"/>
        </w:rPr>
        <w:t xml:space="preserve">Ponadto </w:t>
      </w:r>
      <w:r w:rsidR="00B64C27" w:rsidRPr="00D7179A">
        <w:rPr>
          <w:rFonts w:cs="Arial"/>
        </w:rPr>
        <w:t>Analiza popytu powinna być przeprowadzona w sposób poprawny i wiarygodny, wnioski poparte powinny być analizami wewnętrznymi lub wynikami badań zewnętrznych (np. ankiety).</w:t>
      </w:r>
    </w:p>
    <w:p w:rsidR="00B64C27" w:rsidRPr="00D7179A" w:rsidRDefault="00B64C27" w:rsidP="00B64C27">
      <w:pPr>
        <w:snapToGrid w:val="0"/>
        <w:spacing w:after="0"/>
        <w:jc w:val="both"/>
        <w:rPr>
          <w:rFonts w:cs="Arial"/>
        </w:rPr>
      </w:pPr>
      <w:r w:rsidRPr="00D7179A">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DA0C18" w:rsidRPr="00D7179A" w:rsidRDefault="00B64C27" w:rsidP="00B64C27">
      <w:pPr>
        <w:snapToGrid w:val="0"/>
        <w:spacing w:after="0"/>
        <w:jc w:val="both"/>
        <w:rPr>
          <w:rFonts w:cs="Arial"/>
        </w:rPr>
      </w:pPr>
      <w:r w:rsidRPr="00D7179A">
        <w:rPr>
          <w:rFonts w:cs="Arial"/>
        </w:rPr>
        <w:t>Analiza powinna potwierdzać potrzebę realizacji projektu.</w:t>
      </w:r>
      <w:r w:rsidR="00DA0C18" w:rsidRPr="00D7179A">
        <w:rPr>
          <w:rFonts w:cs="Arial"/>
        </w:rPr>
        <w:t xml:space="preserve"> </w:t>
      </w:r>
    </w:p>
    <w:p w:rsidR="00DA0C18" w:rsidRPr="00D7179A" w:rsidRDefault="00DA0C18" w:rsidP="00DA0C18">
      <w:pPr>
        <w:spacing w:after="0"/>
        <w:jc w:val="both"/>
        <w:rPr>
          <w:rFonts w:eastAsia="Times New Roman"/>
          <w:bCs/>
        </w:rPr>
      </w:pPr>
      <w:r w:rsidRPr="00D7179A">
        <w:rPr>
          <w:rFonts w:eastAsia="Times New Roman"/>
          <w:lang w:eastAsia="pl-PL"/>
        </w:rPr>
        <w:t xml:space="preserve">Zagadnienia te należy przedstawić zgodnie z Wytycznymi </w:t>
      </w:r>
      <w:r w:rsidRPr="00D7179A">
        <w:rPr>
          <w:rFonts w:eastAsia="Times New Roman" w:cs="Arial"/>
          <w:lang w:eastAsia="pl-PL"/>
        </w:rPr>
        <w:t xml:space="preserve">Minister Infrastruktury i Rozwoju w zakresie zagadnień związanych z przygotowaniem projektów inwestycyjnych, w tym projektów generujących dochód i projektów hybrydowych na lata 2014-2020. Ponadto pomocne mogą być zapisy Przewodnika po analizie kosztów i korzyści projektów inwestycyjnych wydanych przez KE, zgodnie </w:t>
      </w:r>
      <w:r w:rsidRPr="00D7179A">
        <w:rPr>
          <w:rFonts w:eastAsia="Times New Roman" w:cs="Arial"/>
          <w:lang w:eastAsia="pl-PL"/>
        </w:rPr>
        <w:br/>
        <w:t xml:space="preserve">z którymi  </w:t>
      </w:r>
      <w:r w:rsidRPr="00D7179A">
        <w:rPr>
          <w:rFonts w:eastAsia="Times New Roman"/>
          <w:bCs/>
        </w:rPr>
        <w:t xml:space="preserve">analiza popytu dla danego projektu jest niezbędna, aby wykazać cel planowanego działania oraz potwierdzić istnienie zapotrzebowania na świadczone i proponowane w projekcie usługi kulturalne. Beneficjent, po uzyskaniu unijnej dotacji i wykonaniu zgłoszonego przedsięwzięcia, będzie zobowiązany wykazać osiągnięcie założonych i przyjętych celów projektu. </w:t>
      </w:r>
    </w:p>
    <w:p w:rsidR="00DA0C18" w:rsidRPr="00D7179A" w:rsidRDefault="00DA0C18" w:rsidP="00DA0C18">
      <w:pPr>
        <w:pStyle w:val="Nagwek3"/>
        <w:spacing w:before="0" w:beforeAutospacing="0" w:after="0" w:afterAutospacing="0" w:line="276" w:lineRule="auto"/>
        <w:jc w:val="both"/>
        <w:rPr>
          <w:rFonts w:asciiTheme="minorHAnsi" w:eastAsia="Times New Roman" w:hAnsiTheme="minorHAnsi"/>
          <w:b w:val="0"/>
          <w:bCs w:val="0"/>
          <w:sz w:val="22"/>
          <w:szCs w:val="22"/>
        </w:rPr>
      </w:pPr>
      <w:r w:rsidRPr="00D7179A">
        <w:rPr>
          <w:rFonts w:asciiTheme="minorHAnsi" w:eastAsia="Times New Roman" w:hAnsiTheme="minorHAnsi"/>
          <w:b w:val="0"/>
          <w:bCs w:val="0"/>
          <w:sz w:val="22"/>
          <w:szCs w:val="22"/>
        </w:rPr>
        <w:t xml:space="preserve">Zgodnie z Wytycznymi </w:t>
      </w:r>
      <w:hyperlink r:id="rId10" w:tooltip="Wytyczne" w:history="1">
        <w:r w:rsidRPr="00D7179A">
          <w:rPr>
            <w:rStyle w:val="Hipercze"/>
            <w:rFonts w:asciiTheme="minorHAnsi" w:eastAsia="Times New Roman" w:hAnsiTheme="minorHAnsi"/>
            <w:b w:val="0"/>
            <w:bCs w:val="0"/>
            <w:color w:val="auto"/>
            <w:sz w:val="22"/>
            <w:szCs w:val="22"/>
          </w:rPr>
          <w:t>w zakresie zagadnień związanych z przygotowaniem projektów inwestycyjnych, w tym projektów generujących dochód i projektów hybrydowych na lata 2014-2020</w:t>
        </w:r>
      </w:hyperlink>
      <w:r w:rsidRPr="00D7179A">
        <w:rPr>
          <w:rFonts w:asciiTheme="minorHAnsi" w:eastAsia="Times New Roman" w:hAnsiTheme="minorHAnsi"/>
          <w:b w:val="0"/>
          <w:bCs w:val="0"/>
          <w:sz w:val="22"/>
          <w:szCs w:val="22"/>
        </w:rPr>
        <w:t xml:space="preserve">, analiza musi być oparta o obiektywne dane zewnętrzne (np. publikacje GUS, dane jednostek samorządu terytorialnego, itp.). Konieczne jest podanie źródła danych. Oczekuje się analizy bieżącego i przyszłego popytu zgłaszanego na produkty / usługi objęte projektem w danym okresie odniesienia określonym w Załączniku nr I do rozporządzenia nr 480/2014. </w:t>
      </w:r>
    </w:p>
    <w:p w:rsidR="00DA0C18" w:rsidRPr="00D7179A" w:rsidRDefault="00DA0C18" w:rsidP="00DA0C18">
      <w:pPr>
        <w:pStyle w:val="Nagwek3"/>
        <w:spacing w:before="0" w:beforeAutospacing="0" w:after="0" w:afterAutospacing="0" w:line="276" w:lineRule="auto"/>
        <w:jc w:val="both"/>
        <w:rPr>
          <w:rFonts w:asciiTheme="minorHAnsi" w:hAnsiTheme="minorHAnsi"/>
          <w:b w:val="0"/>
          <w:sz w:val="22"/>
          <w:szCs w:val="22"/>
        </w:rPr>
      </w:pPr>
      <w:r w:rsidRPr="00D7179A">
        <w:rPr>
          <w:rFonts w:asciiTheme="minorHAnsi" w:hAnsiTheme="minorHAnsi"/>
          <w:b w:val="0"/>
          <w:sz w:val="22"/>
          <w:szCs w:val="22"/>
        </w:rPr>
        <w:t>Przykładowe dane, metody i produkty analizy popytu zostały przedstawione m.in. na str. str. 29, 30, 298 w/w Przewodnika po analizie kosztów i korzyści projektów inwestycyjnych wydanym przez KE (</w:t>
      </w:r>
      <w:hyperlink r:id="rId11" w:history="1">
        <w:r w:rsidRPr="00D7179A">
          <w:rPr>
            <w:rStyle w:val="Hipercze"/>
            <w:rFonts w:asciiTheme="minorHAnsi" w:hAnsiTheme="minorHAnsi"/>
            <w:b w:val="0"/>
            <w:color w:val="auto"/>
            <w:sz w:val="22"/>
            <w:szCs w:val="22"/>
          </w:rPr>
          <w:t>https://www.funduszeeuropejskie.gov.pl/media/5594/Przewodnik_AKK_14_20.pdf</w:t>
        </w:r>
      </w:hyperlink>
      <w:r w:rsidRPr="00D7179A">
        <w:rPr>
          <w:rStyle w:val="Hipercze"/>
          <w:rFonts w:asciiTheme="minorHAnsi" w:hAnsiTheme="minorHAnsi"/>
          <w:b w:val="0"/>
          <w:color w:val="auto"/>
          <w:sz w:val="22"/>
          <w:szCs w:val="22"/>
        </w:rPr>
        <w:t>).</w:t>
      </w:r>
      <w:r w:rsidRPr="00D7179A">
        <w:rPr>
          <w:rFonts w:asciiTheme="minorHAnsi" w:hAnsiTheme="minorHAnsi"/>
          <w:b w:val="0"/>
          <w:sz w:val="22"/>
          <w:szCs w:val="22"/>
        </w:rPr>
        <w:t xml:space="preserve"> </w:t>
      </w:r>
    </w:p>
    <w:p w:rsidR="00DA0C18" w:rsidRPr="00D7179A" w:rsidRDefault="00DA0C18" w:rsidP="00B64C27">
      <w:pPr>
        <w:pStyle w:val="Akapitzlist"/>
        <w:jc w:val="both"/>
        <w:rPr>
          <w:b/>
        </w:rPr>
      </w:pPr>
    </w:p>
    <w:p w:rsidR="00305121" w:rsidRPr="00D7179A" w:rsidRDefault="00B864FA" w:rsidP="00B64C27">
      <w:pPr>
        <w:pStyle w:val="Akapitzlist"/>
        <w:numPr>
          <w:ilvl w:val="0"/>
          <w:numId w:val="1"/>
        </w:numPr>
        <w:jc w:val="both"/>
        <w:rPr>
          <w:b/>
        </w:rPr>
      </w:pPr>
      <w:r w:rsidRPr="00D7179A">
        <w:rPr>
          <w:b/>
        </w:rPr>
        <w:t xml:space="preserve">Czy można uznać za otoczenie obiektu parking przy obiekcie (obiekt - </w:t>
      </w:r>
      <w:r w:rsidR="00305121" w:rsidRPr="00D7179A">
        <w:rPr>
          <w:b/>
        </w:rPr>
        <w:t>zabytek) wpisany jest do Wojewódzkiego Rejestru Zabytków?</w:t>
      </w:r>
    </w:p>
    <w:p w:rsidR="001114F6" w:rsidRPr="00D7179A" w:rsidRDefault="00B864FA" w:rsidP="009F16DB">
      <w:pPr>
        <w:tabs>
          <w:tab w:val="left" w:pos="317"/>
        </w:tabs>
        <w:spacing w:after="0"/>
        <w:jc w:val="both"/>
      </w:pPr>
      <w:r w:rsidRPr="00D7179A">
        <w:rPr>
          <w:rFonts w:eastAsia="TTE1ABE920t00" w:cs="Arial"/>
        </w:rPr>
        <w:t xml:space="preserve">Jeśli przedsięwzięcie dotyczy infrastruktury towarzyszącej znajdującej się w otoczeniu obiektu wpisanego do rejestru zabytków </w:t>
      </w:r>
      <w:r w:rsidRPr="00D7179A">
        <w:rPr>
          <w:rFonts w:cs="Arial"/>
        </w:rPr>
        <w:t>prowadzonego przez Wojewódzkiego Konserwatora  Zabytków we Wrocławiu</w:t>
      </w:r>
      <w:r w:rsidRPr="00D7179A">
        <w:rPr>
          <w:rFonts w:eastAsia="TTE1ABE920t00" w:cs="Arial"/>
        </w:rPr>
        <w:t xml:space="preserve"> (np. parkingi, chodniki, drogi) –  możliwe jest jej dofinansowanie w wysokości </w:t>
      </w:r>
      <w:r w:rsidR="009F16DB" w:rsidRPr="00D7179A">
        <w:rPr>
          <w:rFonts w:eastAsia="TTE1ABE920t00" w:cs="Arial"/>
        </w:rPr>
        <w:t xml:space="preserve">do 15% </w:t>
      </w:r>
      <w:r w:rsidR="009F16DB" w:rsidRPr="00D7179A">
        <w:t>całkowitych kosztów kwalifikowalnych projektu.</w:t>
      </w:r>
    </w:p>
    <w:p w:rsidR="009F16DB" w:rsidRPr="00D7179A" w:rsidRDefault="009F16DB" w:rsidP="009F16DB">
      <w:pPr>
        <w:tabs>
          <w:tab w:val="left" w:pos="317"/>
        </w:tabs>
        <w:spacing w:after="0"/>
        <w:jc w:val="both"/>
        <w:rPr>
          <w:b/>
        </w:rPr>
      </w:pPr>
    </w:p>
    <w:p w:rsidR="00305121" w:rsidRPr="00D7179A" w:rsidRDefault="00305121" w:rsidP="00C9667A">
      <w:pPr>
        <w:pStyle w:val="Akapitzlist"/>
        <w:numPr>
          <w:ilvl w:val="0"/>
          <w:numId w:val="1"/>
        </w:numPr>
        <w:jc w:val="both"/>
        <w:rPr>
          <w:b/>
        </w:rPr>
      </w:pPr>
      <w:r w:rsidRPr="00D7179A">
        <w:rPr>
          <w:b/>
        </w:rPr>
        <w:t>Czy partnerstwo będzie dodatkowo punktowane?</w:t>
      </w:r>
    </w:p>
    <w:p w:rsidR="00C9667A" w:rsidRPr="00C9667A" w:rsidRDefault="001114F6" w:rsidP="00C9667A">
      <w:pPr>
        <w:pStyle w:val="Tekstkomentarza"/>
        <w:jc w:val="both"/>
        <w:rPr>
          <w:sz w:val="22"/>
          <w:szCs w:val="22"/>
        </w:rPr>
      </w:pPr>
      <w:r w:rsidRPr="00C9667A">
        <w:rPr>
          <w:sz w:val="22"/>
          <w:szCs w:val="22"/>
        </w:rPr>
        <w:t>W projektach w ramach działania 4.3 Dziedzictwo kulturowe nie przewiduje się</w:t>
      </w:r>
      <w:r w:rsidR="00C9667A" w:rsidRPr="00C9667A">
        <w:rPr>
          <w:sz w:val="22"/>
          <w:szCs w:val="22"/>
        </w:rPr>
        <w:t xml:space="preserve"> odrębnego</w:t>
      </w:r>
      <w:r w:rsidRPr="00C9667A">
        <w:rPr>
          <w:sz w:val="22"/>
          <w:szCs w:val="22"/>
        </w:rPr>
        <w:t xml:space="preserve"> </w:t>
      </w:r>
      <w:r w:rsidR="00B64C27" w:rsidRPr="00C9667A">
        <w:rPr>
          <w:sz w:val="22"/>
          <w:szCs w:val="22"/>
        </w:rPr>
        <w:t>kryterium</w:t>
      </w:r>
      <w:r w:rsidRPr="00C9667A">
        <w:rPr>
          <w:sz w:val="22"/>
          <w:szCs w:val="22"/>
        </w:rPr>
        <w:t xml:space="preserve"> </w:t>
      </w:r>
      <w:r w:rsidR="00C9667A" w:rsidRPr="00C9667A">
        <w:rPr>
          <w:sz w:val="22"/>
          <w:szCs w:val="22"/>
        </w:rPr>
        <w:t>dot.</w:t>
      </w:r>
      <w:r w:rsidRPr="00C9667A">
        <w:rPr>
          <w:sz w:val="22"/>
          <w:szCs w:val="22"/>
        </w:rPr>
        <w:t xml:space="preserve"> partnerstw</w:t>
      </w:r>
      <w:r w:rsidR="00C9667A" w:rsidRPr="00C9667A">
        <w:rPr>
          <w:sz w:val="22"/>
          <w:szCs w:val="22"/>
        </w:rPr>
        <w:t>a</w:t>
      </w:r>
      <w:r w:rsidRPr="00C9667A">
        <w:rPr>
          <w:sz w:val="22"/>
          <w:szCs w:val="22"/>
        </w:rPr>
        <w:t xml:space="preserve">. </w:t>
      </w:r>
      <w:r w:rsidR="00C9667A" w:rsidRPr="00C9667A">
        <w:rPr>
          <w:sz w:val="22"/>
          <w:szCs w:val="22"/>
        </w:rPr>
        <w:t xml:space="preserve">W ramach kryterium 17 oceny merytorycznej „Ponadregionalny charakter </w:t>
      </w:r>
      <w:r w:rsidR="00C9667A" w:rsidRPr="00C9667A">
        <w:rPr>
          <w:sz w:val="22"/>
          <w:szCs w:val="22"/>
        </w:rPr>
        <w:lastRenderedPageBreak/>
        <w:t>projektu”</w:t>
      </w:r>
      <w:r w:rsidR="00C9667A">
        <w:rPr>
          <w:sz w:val="22"/>
          <w:szCs w:val="22"/>
        </w:rPr>
        <w:t xml:space="preserve"> </w:t>
      </w:r>
      <w:r w:rsidR="00C9667A" w:rsidRPr="00C9667A">
        <w:rPr>
          <w:sz w:val="22"/>
          <w:szCs w:val="22"/>
        </w:rPr>
        <w:t xml:space="preserve">formalnie wnioskodawca może otrzymać 1 pkt. jeśli jego projekt będzie zrealizowany </w:t>
      </w:r>
      <w:r w:rsidR="00C9667A">
        <w:rPr>
          <w:sz w:val="22"/>
          <w:szCs w:val="22"/>
        </w:rPr>
        <w:br/>
      </w:r>
      <w:r w:rsidR="00C9667A" w:rsidRPr="00C9667A">
        <w:rPr>
          <w:sz w:val="22"/>
          <w:szCs w:val="22"/>
        </w:rPr>
        <w:t>w partnerstwie na zasadach opisanych w kryterium.</w:t>
      </w:r>
    </w:p>
    <w:p w:rsidR="00305121" w:rsidRPr="00D7179A" w:rsidRDefault="00305121" w:rsidP="00B64C27">
      <w:pPr>
        <w:pStyle w:val="Akapitzlist"/>
        <w:numPr>
          <w:ilvl w:val="0"/>
          <w:numId w:val="1"/>
        </w:numPr>
        <w:jc w:val="both"/>
        <w:rPr>
          <w:b/>
        </w:rPr>
      </w:pPr>
      <w:r w:rsidRPr="00D7179A">
        <w:rPr>
          <w:b/>
        </w:rPr>
        <w:t>Czy jest możliwość wniesienia niepieniężnego wkładu własnego?</w:t>
      </w:r>
    </w:p>
    <w:p w:rsidR="001114F6" w:rsidRPr="00D7179A" w:rsidRDefault="001114F6" w:rsidP="008A50DE">
      <w:pPr>
        <w:spacing w:after="0"/>
        <w:jc w:val="both"/>
      </w:pPr>
      <w:r w:rsidRPr="00D7179A">
        <w:t xml:space="preserve">Wkład niepieniężny jest dopuszczalny, na zasadach ogólnych określonych w Wytycznych </w:t>
      </w:r>
      <w:r w:rsidRPr="00D7179A">
        <w:br/>
        <w:t>w zakresie kwalifikowalności wydatków w ramach Europejskiego Funduszu Rozwoju Regionalnego, Europejskiego Funduszu Społecznego oraz Funduszu Spójności na lata 2014-2020 (Rozdział 6.10).</w:t>
      </w:r>
    </w:p>
    <w:p w:rsidR="001114F6" w:rsidRPr="00D7179A" w:rsidRDefault="001114F6" w:rsidP="00B64C27">
      <w:pPr>
        <w:pStyle w:val="Akapitzlist"/>
        <w:jc w:val="both"/>
        <w:rPr>
          <w:b/>
        </w:rPr>
      </w:pPr>
    </w:p>
    <w:p w:rsidR="000D5749" w:rsidRPr="00D7179A" w:rsidRDefault="00305121" w:rsidP="00B64C27">
      <w:pPr>
        <w:pStyle w:val="Akapitzlist"/>
        <w:numPr>
          <w:ilvl w:val="0"/>
          <w:numId w:val="1"/>
        </w:numPr>
        <w:jc w:val="both"/>
        <w:rPr>
          <w:b/>
        </w:rPr>
      </w:pPr>
      <w:r w:rsidRPr="00D7179A">
        <w:rPr>
          <w:b/>
        </w:rPr>
        <w:t>Czy organizacja pozarządowa, działająca non profit i wykorzystująca środki na cele statutowe może zostać objęta pomocą publiczną?</w:t>
      </w:r>
    </w:p>
    <w:p w:rsidR="00BD08E3" w:rsidRPr="00D7179A" w:rsidRDefault="009F16DB" w:rsidP="009F16DB">
      <w:pPr>
        <w:jc w:val="both"/>
      </w:pPr>
      <w:r w:rsidRPr="00D7179A">
        <w:t xml:space="preserve">Zgodnie z </w:t>
      </w:r>
      <w:r w:rsidR="009D2595" w:rsidRPr="00D7179A">
        <w:t xml:space="preserve">obowiązującymi </w:t>
      </w:r>
      <w:r w:rsidRPr="00D7179A">
        <w:t xml:space="preserve">przepisami prawa </w:t>
      </w:r>
      <w:r w:rsidR="00BD08E3" w:rsidRPr="00D7179A">
        <w:t xml:space="preserve">kluczowe jest, iż przepisy o pomocy publicznej będą miały zastosowanie wyłącznie w odniesieniu do podmiotów prowadzących działalność gospodarczą. Dla potrzeb stosowania przepisów o pomocy publicznej wiążące jest pojęcie przedsiębiorstwa </w:t>
      </w:r>
      <w:r w:rsidR="00BD08E3" w:rsidRPr="00D7179A">
        <w:br/>
        <w:t xml:space="preserve">w rozumieniu prawa unijnego, przy czym podkreślić należy, iż pojęcie to powinno być rozumiane bardzo szeroko, obejmuje ono bowiem swym zakresem wszelkie kategorie podmiotów prowadzących działalność gospodarczą, niezależnie od ich formy prawnej i </w:t>
      </w:r>
      <w:r w:rsidR="001B7841" w:rsidRPr="00D7179A">
        <w:t>źródeł</w:t>
      </w:r>
      <w:r w:rsidR="00BD08E3" w:rsidRPr="00D7179A">
        <w:t xml:space="preserve"> finansowania</w:t>
      </w:r>
      <w:r w:rsidR="001B7841" w:rsidRPr="00D7179A">
        <w:t xml:space="preserve"> oraz bez względu na to czy przepisy krajowe przyznają danemu podmiotowi status przedsiębiorstwa.</w:t>
      </w:r>
    </w:p>
    <w:p w:rsidR="001B7841" w:rsidRPr="00D7179A" w:rsidRDefault="001B7841" w:rsidP="009F16DB">
      <w:pPr>
        <w:jc w:val="both"/>
      </w:pPr>
      <w:r w:rsidRPr="00D7179A">
        <w:t xml:space="preserve">Należy zwrócić uwagę, iż kluczową rolę w określeniu zakresu tego pojęcia odgrywa orzecznictwo trybunału Sprawiedliwości UE (TSUE) oraz Sądu. Sąd uznał, iż pojęcie działalności gospodarczej dotyczy zarówno działalności produkcyjnej, jak i dystrybucyjnej i usługowej. Nie jest istotne występowanie zarobkowego charakteru działalności (nie ma zatem znaczenia, ze zysk z działalności gospodarczej jest przeznaczany przez dany podmiot na określone w statucie cele niegospodarcze), w związku z czym działalność gospodarczą w rozumieniu prawa unijnego prowadzić mogą także różnorodne podmioty typu non-profit. Przy ocenie charakteru danej działalności TSUE i Sąd kierują się możliwością występowania na określonym rynku rzeczywistej lub potencjalnej konkurencji ze strony innych firm. </w:t>
      </w:r>
    </w:p>
    <w:p w:rsidR="001B7841" w:rsidRPr="00D7179A" w:rsidRDefault="001B7841" w:rsidP="009F16DB">
      <w:pPr>
        <w:jc w:val="both"/>
      </w:pPr>
      <w:r w:rsidRPr="00D7179A">
        <w:t>W zależności od formy</w:t>
      </w:r>
      <w:r w:rsidR="00C01D25" w:rsidRPr="00D7179A">
        <w:t xml:space="preserve"> działalności, organizacje pozarządowe mogą prowadzić działalność gospodarczą, w związku z czym mogą je dotyczyć przepisy o pomocy publicznej. Jednakże, każda </w:t>
      </w:r>
      <w:r w:rsidR="00C01D25" w:rsidRPr="00D7179A">
        <w:br/>
        <w:t>z nich musi być oceniana indywidualnie, ze względu na zróżnicowany charakter możliwych do podjęcia działalności.</w:t>
      </w:r>
    </w:p>
    <w:p w:rsidR="00C01D25" w:rsidRPr="00D7179A" w:rsidRDefault="00C01D25" w:rsidP="00C01D25">
      <w:pPr>
        <w:spacing w:before="120" w:after="120" w:line="240" w:lineRule="auto"/>
        <w:jc w:val="both"/>
        <w:rPr>
          <w:rFonts w:cs="Arial"/>
        </w:rPr>
      </w:pPr>
      <w:r w:rsidRPr="00D7179A">
        <w:rPr>
          <w:rFonts w:cs="Arial"/>
        </w:rPr>
        <w:t>Przed wypełnieniem wniosku o dofinansowanie należy przeanalizować projekt pod kątem wystąpienia pomocy publicznej</w:t>
      </w:r>
      <w:r w:rsidRPr="00D7179A">
        <w:rPr>
          <w:rFonts w:eastAsia="Times New Roman" w:cs="Arial"/>
          <w:bCs/>
          <w:lang w:eastAsia="pl-PL"/>
        </w:rPr>
        <w:t xml:space="preserve">. </w:t>
      </w:r>
    </w:p>
    <w:p w:rsidR="00C01D25" w:rsidRPr="00D7179A" w:rsidRDefault="00C01D25" w:rsidP="00C01D25">
      <w:p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Pomocą publiczną jest wszelka pomoc, która kumulatywnie spełnia następujące przesłanki:</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beneficjentem wsparcia jest przedsiębiorca w rozumieniu funkcjonalnym;</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jest udzielona za pośrednictwem lub ze źródeł państwowych w jakiejkolwiek formie;</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stanowi korzyść dla beneficjenta oraz jest selektywna</w:t>
      </w:r>
      <w:r w:rsidRPr="00D7179A">
        <w:t xml:space="preserve"> tj. uprzywilejowuje niektórych przedsiębiorców lub produkcję niektórych towarów;</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zakłóca lub grozi zakłóceniem konkurencji poprzez sprzyjanie niektórym przedsiębiorcom;</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oraz wpływa na wymianę handlową pomiędzy Państwami Członkowskimi Unii Europejskiej.</w:t>
      </w:r>
    </w:p>
    <w:p w:rsidR="00C01D25" w:rsidRDefault="00C01D25" w:rsidP="00C01D25">
      <w:pPr>
        <w:spacing w:before="120" w:after="120" w:line="240" w:lineRule="auto"/>
        <w:jc w:val="both"/>
        <w:rPr>
          <w:rFonts w:cs="Arial"/>
        </w:rPr>
      </w:pPr>
      <w:r w:rsidRPr="00D7179A">
        <w:rPr>
          <w:rFonts w:eastAsia="Times New Roman" w:cs="Arial"/>
          <w:bCs/>
          <w:lang w:eastAsia="pl-PL"/>
        </w:rPr>
        <w:lastRenderedPageBreak/>
        <w:t>W przypadku stwierdzenia przez wnioskodawcę występowania pomocy publicznej w projekcie</w:t>
      </w:r>
      <w:r w:rsidRPr="00D7179A">
        <w:rPr>
          <w:rFonts w:cs="Arial"/>
        </w:rPr>
        <w:t>, zastosowanie znajdą właściwe przepisy prawa wspólnotowego i krajowego dotyczące zasad udzielania tej pomocy.</w:t>
      </w:r>
    </w:p>
    <w:p w:rsidR="00D24E60" w:rsidRPr="00D7179A" w:rsidRDefault="00D24E60" w:rsidP="00C01D25">
      <w:pPr>
        <w:spacing w:before="120" w:after="120" w:line="240" w:lineRule="auto"/>
        <w:jc w:val="both"/>
        <w:rPr>
          <w:rFonts w:cs="Arial"/>
        </w:rPr>
      </w:pPr>
    </w:p>
    <w:p w:rsidR="001114F6" w:rsidRPr="00D7179A" w:rsidRDefault="000E241B" w:rsidP="00B64C27">
      <w:pPr>
        <w:pStyle w:val="Akapitzlist"/>
        <w:numPr>
          <w:ilvl w:val="0"/>
          <w:numId w:val="1"/>
        </w:numPr>
        <w:jc w:val="both"/>
        <w:rPr>
          <w:b/>
        </w:rPr>
      </w:pPr>
      <w:r w:rsidRPr="00D7179A">
        <w:rPr>
          <w:b/>
        </w:rPr>
        <w:t xml:space="preserve">Dot. kryterium </w:t>
      </w:r>
      <w:r w:rsidR="001114F6" w:rsidRPr="00D7179A">
        <w:rPr>
          <w:rFonts w:eastAsia="Times New Roman" w:cs="Arial"/>
          <w:b/>
          <w:bCs/>
        </w:rPr>
        <w:t>Lokalizacja obiektu:</w:t>
      </w:r>
      <w:r w:rsidR="001114F6" w:rsidRPr="00D7179A">
        <w:rPr>
          <w:b/>
        </w:rPr>
        <w:t xml:space="preserve"> c</w:t>
      </w:r>
      <w:r w:rsidR="00305121" w:rsidRPr="00D7179A">
        <w:rPr>
          <w:b/>
        </w:rPr>
        <w:t xml:space="preserve">zy obiekt musi znajdować się literalnie w </w:t>
      </w:r>
      <w:r w:rsidR="001114F6" w:rsidRPr="00D7179A">
        <w:rPr>
          <w:b/>
        </w:rPr>
        <w:t>wymienionej U</w:t>
      </w:r>
      <w:r w:rsidR="00305121" w:rsidRPr="00D7179A">
        <w:rPr>
          <w:b/>
        </w:rPr>
        <w:t>chwale ZWD, czy wystarczy jego powiązanie ze szlakiem turystycznym</w:t>
      </w:r>
      <w:r w:rsidRPr="00D7179A">
        <w:rPr>
          <w:b/>
        </w:rPr>
        <w:t xml:space="preserve"> tam wskazanym</w:t>
      </w:r>
      <w:r w:rsidR="00305121" w:rsidRPr="00D7179A">
        <w:rPr>
          <w:b/>
        </w:rPr>
        <w:t xml:space="preserve">, aby uzyskać </w:t>
      </w:r>
      <w:r w:rsidR="001114F6" w:rsidRPr="00D7179A">
        <w:rPr>
          <w:b/>
        </w:rPr>
        <w:t>dodatkowe punkty</w:t>
      </w:r>
      <w:r w:rsidR="00305121" w:rsidRPr="00D7179A">
        <w:rPr>
          <w:b/>
        </w:rPr>
        <w:t>?</w:t>
      </w:r>
    </w:p>
    <w:p w:rsidR="0005013C" w:rsidRPr="0005013C" w:rsidRDefault="0005013C" w:rsidP="0005013C">
      <w:pPr>
        <w:jc w:val="both"/>
      </w:pPr>
      <w:r w:rsidRPr="0005013C">
        <w:t>Aby uzyskać dodatkowe punkty w trakcie oceny tego kryterium:</w:t>
      </w:r>
    </w:p>
    <w:p w:rsidR="0005013C" w:rsidRPr="0005013C" w:rsidRDefault="0005013C" w:rsidP="0005013C">
      <w:pPr>
        <w:jc w:val="both"/>
      </w:pPr>
      <w:r w:rsidRPr="0005013C">
        <w:t xml:space="preserve">- W przypadku szlaków od 1-11 wymienionych w Uchwale, obiekt musi być literalnie wymieniony </w:t>
      </w:r>
      <w:r>
        <w:br/>
      </w:r>
      <w:r w:rsidRPr="0005013C">
        <w:t>w odpowiednim załączniku do Uchwały;</w:t>
      </w:r>
    </w:p>
    <w:p w:rsidR="0005013C" w:rsidRDefault="0005013C" w:rsidP="0005013C">
      <w:pPr>
        <w:jc w:val="both"/>
      </w:pPr>
      <w:r w:rsidRPr="0005013C">
        <w:t>- W przypadku szlaku 12, obiekt musi się znajdować na obszarze wymienionym w załączniku do Uchwały.</w:t>
      </w:r>
    </w:p>
    <w:p w:rsidR="00D7179A" w:rsidRDefault="00D7179A" w:rsidP="00D7179A">
      <w:pPr>
        <w:jc w:val="both"/>
        <w:rPr>
          <w:b/>
          <w:u w:val="single"/>
        </w:rPr>
      </w:pPr>
      <w:r w:rsidRPr="00D7179A">
        <w:rPr>
          <w:b/>
          <w:u w:val="single"/>
        </w:rPr>
        <w:t xml:space="preserve">Pytania i odpowiedzi dot. spotkań informacyjnych dla potencjalnych beneficjentów Działania 4.3 zorganizowanych w dniach 8 i 9 grudnia 2015 r. w zakresie prezentacji: </w:t>
      </w:r>
    </w:p>
    <w:p w:rsidR="00D7179A" w:rsidRPr="00D7179A" w:rsidRDefault="00D7179A" w:rsidP="00D7179A">
      <w:pPr>
        <w:jc w:val="center"/>
        <w:rPr>
          <w:b/>
          <w:u w:val="single"/>
        </w:rPr>
      </w:pPr>
      <w:r w:rsidRPr="00D7179A">
        <w:rPr>
          <w:b/>
          <w:u w:val="single"/>
        </w:rPr>
        <w:t>„Omówienie wybranych zagadnień dotyczących procedury oceny oddziaływania na środowisko dla projektów EFRR w ramach RPO WD 2014-2020”.</w:t>
      </w:r>
    </w:p>
    <w:p w:rsidR="00D7179A" w:rsidRPr="00D7179A" w:rsidRDefault="00D7179A" w:rsidP="00D7179A">
      <w:pPr>
        <w:spacing w:after="0"/>
        <w:jc w:val="both"/>
        <w:rPr>
          <w:bCs/>
          <w:i/>
          <w:kern w:val="28"/>
        </w:rPr>
      </w:pPr>
      <w:r w:rsidRPr="00D7179A">
        <w:rPr>
          <w:b/>
          <w:i/>
          <w:u w:val="single"/>
        </w:rPr>
        <w:t>Pytanie 1:</w:t>
      </w:r>
      <w:r w:rsidRPr="00D7179A">
        <w:rPr>
          <w:b/>
          <w:i/>
        </w:rPr>
        <w:t xml:space="preserve"> </w:t>
      </w:r>
      <w:r w:rsidRPr="00D7179A">
        <w:rPr>
          <w:i/>
        </w:rPr>
        <w:t xml:space="preserve">Czy jeśli nie jest wymagana decyzja środowiskowa to nie jest wymagany załącznik  </w:t>
      </w:r>
      <w:r w:rsidRPr="00003494">
        <w:rPr>
          <w:i/>
        </w:rPr>
        <w:t>„</w:t>
      </w:r>
      <w:r w:rsidRPr="00D7179A">
        <w:rPr>
          <w:bCs/>
          <w:i/>
          <w:kern w:val="28"/>
        </w:rPr>
        <w:t xml:space="preserve">Oświadczenie do wniosku o dofinansowanie w ramach RPO WD 2014-2020 Analiza oddziaływania na środowisko, z uwzględnieniem potrzeb dotyczących przystosowania się do zmiany klimatu </w:t>
      </w:r>
      <w:r w:rsidRPr="00D7179A">
        <w:rPr>
          <w:bCs/>
          <w:i/>
          <w:kern w:val="28"/>
        </w:rPr>
        <w:br/>
        <w:t>i łagodzenia zmiany klimatu, a także odporności na klęski żywiołowe”?</w:t>
      </w:r>
    </w:p>
    <w:p w:rsidR="00D7179A" w:rsidRPr="00D7179A" w:rsidRDefault="00D7179A" w:rsidP="00D7179A">
      <w:pPr>
        <w:spacing w:after="0"/>
        <w:jc w:val="both"/>
      </w:pPr>
      <w:r w:rsidRPr="00D7179A">
        <w:rPr>
          <w:bCs/>
          <w:kern w:val="28"/>
        </w:rPr>
        <w:t xml:space="preserve">- Załącznik „Analiza oddziaływania na środowisko…” jest wymagany dla każdego projektu, w ramach którego realizowane jest (będzie) przedsięwzięcie w rozumieniu ustawy </w:t>
      </w:r>
      <w:r w:rsidRPr="00D7179A">
        <w:rPr>
          <w:rFonts w:eastAsia="Times New Roman" w:cs="Arial"/>
          <w:lang w:eastAsia="pl-PL"/>
        </w:rPr>
        <w:t xml:space="preserve">ustawą z dnia 3 października 2008 r.  o udostępnianiu informacji o środowisku i jego ochronie, udziale społeczeństwa w ochronie środowiska oraz o ocenach oddziaływania na środowisko, (dalej jako ustawa OOŚ) tj. </w:t>
      </w:r>
      <w:r w:rsidRPr="00D7179A">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p w:rsidR="00D7179A" w:rsidRPr="00D7179A" w:rsidRDefault="00D7179A" w:rsidP="00D7179A">
      <w:pPr>
        <w:spacing w:after="0"/>
        <w:jc w:val="both"/>
        <w:rPr>
          <w:rFonts w:eastAsia="Times New Roman" w:cs="Arial"/>
          <w:lang w:eastAsia="pl-PL"/>
        </w:rPr>
      </w:pPr>
    </w:p>
    <w:p w:rsidR="00D7179A" w:rsidRPr="00D7179A" w:rsidRDefault="00D7179A" w:rsidP="00D7179A">
      <w:pPr>
        <w:spacing w:after="0"/>
        <w:jc w:val="both"/>
        <w:rPr>
          <w:i/>
        </w:rPr>
      </w:pPr>
      <w:r w:rsidRPr="00D7179A">
        <w:rPr>
          <w:b/>
          <w:i/>
          <w:u w:val="single"/>
        </w:rPr>
        <w:t>Pytanie 2:</w:t>
      </w:r>
      <w:r w:rsidRPr="00D7179A">
        <w:rPr>
          <w:b/>
          <w:i/>
        </w:rPr>
        <w:t xml:space="preserve"> </w:t>
      </w:r>
      <w:r w:rsidRPr="00D7179A">
        <w:rPr>
          <w:i/>
        </w:rPr>
        <w:t>Dlaczego załączniki są inne dla projektów składanych do Dolnośląskiej Instytucji Pośredniczącej?</w:t>
      </w:r>
    </w:p>
    <w:p w:rsidR="00D7179A" w:rsidRPr="00D7179A" w:rsidRDefault="00D7179A" w:rsidP="00D7179A">
      <w:pPr>
        <w:spacing w:after="0"/>
        <w:jc w:val="both"/>
        <w:rPr>
          <w:i/>
        </w:rPr>
      </w:pPr>
      <w:r w:rsidRPr="00D7179A">
        <w:rPr>
          <w:rFonts w:eastAsia="Times New Roman" w:cs="Arial"/>
          <w:lang w:eastAsia="pl-PL"/>
        </w:rPr>
        <w:t xml:space="preserve">- Każda </w:t>
      </w:r>
      <w:r w:rsidRPr="00D7179A">
        <w:t>Instytucja Ogłaszająca Konkurs  o</w:t>
      </w:r>
      <w:r w:rsidRPr="00D7179A">
        <w:rPr>
          <w:rFonts w:eastAsia="Times New Roman" w:cs="Arial"/>
          <w:lang w:eastAsia="pl-PL"/>
        </w:rPr>
        <w:t xml:space="preserve">kreśla </w:t>
      </w:r>
      <w:r w:rsidRPr="00D7179A">
        <w:rPr>
          <w:rFonts w:eastAsia="Times New Roman" w:cs="Arial"/>
          <w:u w:val="single"/>
          <w:lang w:eastAsia="pl-PL"/>
        </w:rPr>
        <w:t>każdorazowo</w:t>
      </w:r>
      <w:r w:rsidRPr="00D7179A">
        <w:rPr>
          <w:rFonts w:eastAsia="Times New Roman" w:cs="Arial"/>
          <w:lang w:eastAsia="pl-PL"/>
        </w:rPr>
        <w:t xml:space="preserve"> dokumenty wymagane do wniosku </w:t>
      </w:r>
      <w:r w:rsidRPr="00D7179A">
        <w:rPr>
          <w:rFonts w:eastAsia="Times New Roman" w:cs="Arial"/>
          <w:lang w:eastAsia="pl-PL"/>
        </w:rPr>
        <w:br/>
        <w:t xml:space="preserve">o dofinansowanie w dokumentacji konkursowej m.in. jako element wzoru wniosku o dofinansowanie.  Zatem do każdego naboru należy stosować załączniki wymagane w konkretnym ogłoszeniu o konkursie. Nie ma stałej listy załączników do wniosku o dofinansowanie. </w:t>
      </w:r>
    </w:p>
    <w:p w:rsidR="00D7179A" w:rsidRPr="00D7179A" w:rsidRDefault="00D7179A" w:rsidP="00D7179A">
      <w:pPr>
        <w:jc w:val="both"/>
      </w:pPr>
    </w:p>
    <w:p w:rsidR="00D7179A" w:rsidRPr="00D7179A" w:rsidRDefault="00D7179A" w:rsidP="00D7179A">
      <w:pPr>
        <w:spacing w:after="0"/>
        <w:jc w:val="both"/>
        <w:rPr>
          <w:i/>
        </w:rPr>
      </w:pPr>
      <w:r w:rsidRPr="00D7179A">
        <w:rPr>
          <w:b/>
          <w:i/>
          <w:u w:val="single"/>
        </w:rPr>
        <w:t>Pytanie 3:</w:t>
      </w:r>
      <w:r w:rsidRPr="00D7179A">
        <w:rPr>
          <w:b/>
          <w:i/>
        </w:rPr>
        <w:t xml:space="preserve"> </w:t>
      </w:r>
      <w:r w:rsidRPr="00D7179A">
        <w:rPr>
          <w:i/>
        </w:rPr>
        <w:t>Czy decyzje umorzeniowe będą wymagane do wniosku o dofinansowanie?</w:t>
      </w:r>
    </w:p>
    <w:p w:rsidR="00D7179A" w:rsidRPr="00D7179A" w:rsidRDefault="00D7179A" w:rsidP="00D7179A">
      <w:pPr>
        <w:jc w:val="both"/>
        <w:rPr>
          <w:rFonts w:eastAsia="Times New Roman" w:cs="Arial"/>
          <w:lang w:eastAsia="pl-PL"/>
        </w:rPr>
      </w:pPr>
      <w:r w:rsidRPr="00D7179A">
        <w:t xml:space="preserve">- Do wniosku o dofinansowanie należy złożyć całość dokumentacji z postępowania administracyjnego dot. decyzji środowiskowej dla określonego przedsięwzięcia  kwalifikującego się do </w:t>
      </w:r>
      <w:r w:rsidRPr="00D7179A">
        <w:rPr>
          <w:rFonts w:eastAsia="Times New Roman" w:cs="Arial"/>
          <w:lang w:eastAsia="pl-PL"/>
        </w:rPr>
        <w:t>przedsięwzięć mogących znacząco oddziaływać na środowisko (</w:t>
      </w:r>
      <w:r w:rsidRPr="00D7179A">
        <w:rPr>
          <w:rFonts w:eastAsia="Times New Roman"/>
          <w:bCs/>
          <w:lang w:eastAsia="pl-PL"/>
        </w:rPr>
        <w:t xml:space="preserve">Rozporządzenie Rady Ministrów </w:t>
      </w:r>
      <w:r w:rsidRPr="00D7179A">
        <w:rPr>
          <w:rFonts w:eastAsia="Times New Roman"/>
          <w:lang w:eastAsia="pl-PL"/>
        </w:rPr>
        <w:t xml:space="preserve">z dnia 9 listopada </w:t>
      </w:r>
      <w:r w:rsidRPr="00D7179A">
        <w:rPr>
          <w:rFonts w:eastAsia="Times New Roman"/>
          <w:lang w:eastAsia="pl-PL"/>
        </w:rPr>
        <w:lastRenderedPageBreak/>
        <w:t xml:space="preserve">2010 r. </w:t>
      </w:r>
      <w:r w:rsidRPr="00D7179A">
        <w:rPr>
          <w:rFonts w:eastAsia="Times New Roman"/>
          <w:bCs/>
          <w:lang w:eastAsia="pl-PL"/>
        </w:rPr>
        <w:t>w sprawie przedsięwzięć mogących znacząco oddziaływać na środowisko</w:t>
      </w:r>
      <w:r w:rsidRPr="00D7179A">
        <w:rPr>
          <w:rFonts w:eastAsia="Times New Roman" w:cs="Arial"/>
          <w:lang w:eastAsia="pl-PL"/>
        </w:rPr>
        <w:t xml:space="preserve">). Nie są wymagane jakiekolwiek dodatkowe decyzje administracyjne nie wynikające z obowiązujących przepisów prawa. </w:t>
      </w:r>
    </w:p>
    <w:p w:rsidR="00D7179A" w:rsidRPr="00D7179A" w:rsidRDefault="00D7179A" w:rsidP="00D7179A">
      <w:pPr>
        <w:spacing w:after="0"/>
        <w:jc w:val="both"/>
        <w:rPr>
          <w:i/>
        </w:rPr>
      </w:pPr>
      <w:r w:rsidRPr="00D7179A">
        <w:rPr>
          <w:b/>
          <w:i/>
          <w:u w:val="single"/>
        </w:rPr>
        <w:t>Pytanie 4:</w:t>
      </w:r>
      <w:r w:rsidRPr="00D7179A">
        <w:rPr>
          <w:b/>
          <w:i/>
        </w:rPr>
        <w:t xml:space="preserve"> </w:t>
      </w:r>
      <w:r w:rsidRPr="00D7179A">
        <w:rPr>
          <w:i/>
        </w:rPr>
        <w:t>Czy jeśli jest wydana decyzja pozwolenie na budowę to można ubiegać się o decyzję środowiskową?</w:t>
      </w:r>
    </w:p>
    <w:p w:rsidR="00D7179A" w:rsidRPr="00D7179A" w:rsidRDefault="00D7179A" w:rsidP="00D7179A">
      <w:pPr>
        <w:jc w:val="both"/>
      </w:pPr>
      <w:r w:rsidRPr="00D7179A">
        <w:t xml:space="preserve">- Zgodnie z art. </w:t>
      </w:r>
      <w:r w:rsidRPr="00D7179A">
        <w:rPr>
          <w:bCs/>
        </w:rPr>
        <w:t>72.</w:t>
      </w:r>
      <w:r w:rsidRPr="00D7179A">
        <w:t xml:space="preserve"> ust. 1. </w:t>
      </w:r>
      <w:r w:rsidRPr="00D7179A">
        <w:rPr>
          <w:rFonts w:eastAsia="Times New Roman"/>
          <w:lang w:eastAsia="pl-PL"/>
        </w:rPr>
        <w:t xml:space="preserve">z dnia 3 października 2008 r. </w:t>
      </w:r>
      <w:r w:rsidRPr="00D7179A">
        <w:rPr>
          <w:rFonts w:eastAsia="Times New Roman"/>
          <w:bCs/>
          <w:lang w:eastAsia="pl-PL"/>
        </w:rPr>
        <w:t>o udostępnianiu informacji o środowisku i jego ochronie, udziale społeczeństwa w ochronie środowiska oraz o ocenach oddziaływania na środowisko,</w:t>
      </w:r>
      <w:r w:rsidRPr="00D7179A">
        <w:t xml:space="preserve"> wydanie decyzji o środowiskowych uwarunkowaniach następuje </w:t>
      </w:r>
      <w:r w:rsidRPr="00D7179A">
        <w:rPr>
          <w:u w:val="single"/>
        </w:rPr>
        <w:t>przed</w:t>
      </w:r>
      <w:r w:rsidRPr="00D7179A">
        <w:t xml:space="preserve"> uzyskaniem m.in. decyzji pozwolenia na budowę </w:t>
      </w:r>
      <w:r w:rsidRPr="00D7179A">
        <w:rPr>
          <w:u w:val="single"/>
        </w:rPr>
        <w:t>dla planowanego</w:t>
      </w:r>
      <w:r w:rsidRPr="00D7179A">
        <w:t xml:space="preserve"> przedsięwzięcia mogącego znacząco oddziaływać na środowisko (tj. wymienionego w </w:t>
      </w:r>
      <w:r w:rsidRPr="00D7179A">
        <w:rPr>
          <w:rFonts w:eastAsia="Times New Roman"/>
          <w:bCs/>
          <w:lang w:eastAsia="pl-PL"/>
        </w:rPr>
        <w:t xml:space="preserve">Rozporządzeniu Rady Ministrów </w:t>
      </w:r>
      <w:r w:rsidRPr="00D7179A">
        <w:rPr>
          <w:rFonts w:eastAsia="Times New Roman"/>
          <w:lang w:eastAsia="pl-PL"/>
        </w:rPr>
        <w:t xml:space="preserve">z dnia 9 listopada 2010 r. </w:t>
      </w:r>
      <w:r w:rsidRPr="00D7179A">
        <w:rPr>
          <w:rFonts w:eastAsia="Times New Roman"/>
          <w:bCs/>
          <w:lang w:eastAsia="pl-PL"/>
        </w:rPr>
        <w:t>w sprawie przedsięwzięć mogących znacząco oddziaływać na środowisko</w:t>
      </w:r>
      <w:r w:rsidRPr="00D7179A">
        <w:t>). Jeśli więc wydana została decyzja pozwolenia na budowę bez wymaganej prawem decyzji środowiskowej, w ocenie IZ RPO WD 2014-2020 może zostać uznane to za brak poprawności i wniosek zostanie wówczas negatywnie oceniony.</w:t>
      </w:r>
    </w:p>
    <w:p w:rsidR="00D7179A" w:rsidRPr="00D7179A" w:rsidRDefault="00D7179A" w:rsidP="00D7179A">
      <w:pPr>
        <w:spacing w:after="0"/>
        <w:jc w:val="both"/>
        <w:rPr>
          <w:i/>
        </w:rPr>
      </w:pPr>
      <w:r w:rsidRPr="00D7179A">
        <w:rPr>
          <w:b/>
          <w:i/>
          <w:u w:val="single"/>
        </w:rPr>
        <w:t>Pytanie 5:</w:t>
      </w:r>
      <w:r w:rsidRPr="00D7179A">
        <w:rPr>
          <w:b/>
          <w:i/>
        </w:rPr>
        <w:t xml:space="preserve"> </w:t>
      </w:r>
      <w:r w:rsidRPr="00D7179A">
        <w:rPr>
          <w:i/>
        </w:rPr>
        <w:t>Czy Deklaracje dot. Natury 2000 i gospodarki wodnej można uzyskać po decyzji środowiskowej i po pozwoleniu na budowę?</w:t>
      </w:r>
    </w:p>
    <w:p w:rsidR="00D7179A" w:rsidRPr="00D7179A" w:rsidRDefault="00D7179A" w:rsidP="00D7179A">
      <w:pPr>
        <w:jc w:val="both"/>
      </w:pPr>
      <w:r w:rsidRPr="00D7179A">
        <w:t xml:space="preserve">- Tak, są to dokumenty wymagane jedynie dla projektów ubiegających się o dofinansowanie </w:t>
      </w:r>
      <w:r w:rsidRPr="00D7179A">
        <w:br/>
        <w:t>w ramach RPO  WD 2014-2020 i nie wynikają z przepisów prawa.</w:t>
      </w:r>
    </w:p>
    <w:p w:rsidR="00D7179A" w:rsidRPr="00D7179A" w:rsidRDefault="00D7179A" w:rsidP="00D7179A">
      <w:pPr>
        <w:spacing w:after="0"/>
        <w:jc w:val="both"/>
        <w:rPr>
          <w:i/>
        </w:rPr>
      </w:pPr>
      <w:r w:rsidRPr="00D7179A">
        <w:rPr>
          <w:b/>
          <w:i/>
          <w:u w:val="single"/>
        </w:rPr>
        <w:t>Pytanie 6:</w:t>
      </w:r>
      <w:r w:rsidRPr="00D7179A">
        <w:rPr>
          <w:b/>
          <w:i/>
        </w:rPr>
        <w:t xml:space="preserve"> </w:t>
      </w:r>
      <w:r w:rsidRPr="00D7179A">
        <w:rPr>
          <w:i/>
        </w:rPr>
        <w:t xml:space="preserve">Jaka dokumentacja będzie wymagana w zakresie OOŚ dla projektów realizowanych </w:t>
      </w:r>
      <w:r w:rsidRPr="00D7179A">
        <w:rPr>
          <w:i/>
        </w:rPr>
        <w:br/>
        <w:t>w formule „zaprojektuj i wybuduj”?</w:t>
      </w:r>
    </w:p>
    <w:p w:rsidR="00D7179A" w:rsidRPr="00D7179A" w:rsidRDefault="00D7179A" w:rsidP="00D7179A">
      <w:pPr>
        <w:jc w:val="both"/>
        <w:rPr>
          <w:rFonts w:eastAsia="Times New Roman" w:cs="Arial"/>
          <w:lang w:eastAsia="pl-PL"/>
        </w:rPr>
      </w:pPr>
      <w:r w:rsidRPr="00D7179A">
        <w:t xml:space="preserve">- Wymagania dotyczące obowiązku dołączania do wniosku o dofinansowanie całości dokumentacji </w:t>
      </w:r>
      <w:r w:rsidRPr="00D7179A">
        <w:br/>
        <w:t xml:space="preserve">z postępowania dot. decyzji środowiskowej (jeśli jest wymagana prawem) </w:t>
      </w:r>
      <w:r w:rsidRPr="00D7179A">
        <w:rPr>
          <w:rFonts w:eastAsia="Times New Roman" w:cs="Arial"/>
          <w:lang w:eastAsia="pl-PL"/>
        </w:rPr>
        <w:t>znajdują zastosowanie bez względu na to, czy Beneficjent realizuje projekt w formule „projektuj i buduj”, czy też w formule oddzielnie „projektuj”, oddzielnie „buduj”.</w:t>
      </w:r>
    </w:p>
    <w:p w:rsidR="00D7179A" w:rsidRPr="00D7179A" w:rsidRDefault="00D7179A" w:rsidP="00D7179A">
      <w:pPr>
        <w:spacing w:after="0"/>
        <w:jc w:val="both"/>
        <w:rPr>
          <w:i/>
        </w:rPr>
      </w:pPr>
      <w:r w:rsidRPr="00D7179A">
        <w:rPr>
          <w:b/>
          <w:i/>
          <w:u w:val="single"/>
        </w:rPr>
        <w:t>Pytanie 7:</w:t>
      </w:r>
      <w:r w:rsidRPr="00D7179A">
        <w:rPr>
          <w:b/>
          <w:i/>
        </w:rPr>
        <w:t xml:space="preserve"> </w:t>
      </w:r>
      <w:r w:rsidRPr="00D7179A">
        <w:rPr>
          <w:i/>
        </w:rPr>
        <w:t>Czy w przypadku  projektów już rozpoczętych wymagane są takie same załączniki jak dla projektów, dla których jeszcze nie rozpoczęto realizacji robót budowlanych?</w:t>
      </w:r>
    </w:p>
    <w:p w:rsidR="00D7179A" w:rsidRPr="00D7179A" w:rsidRDefault="00D7179A" w:rsidP="00D7179A">
      <w:pPr>
        <w:spacing w:after="0"/>
        <w:jc w:val="both"/>
        <w:rPr>
          <w:rFonts w:eastAsia="Times New Roman" w:cs="Arial"/>
          <w:lang w:eastAsia="pl-PL"/>
        </w:rPr>
      </w:pPr>
      <w:r w:rsidRPr="00D7179A">
        <w:rPr>
          <w:rFonts w:eastAsia="Times New Roman" w:cs="Arial"/>
          <w:lang w:eastAsia="pl-PL"/>
        </w:rPr>
        <w:t>Załączniki :</w:t>
      </w:r>
    </w:p>
    <w:p w:rsidR="00D7179A" w:rsidRPr="00D7179A" w:rsidRDefault="00D7179A" w:rsidP="00D7179A">
      <w:pPr>
        <w:pStyle w:val="Akapitzlist"/>
        <w:numPr>
          <w:ilvl w:val="0"/>
          <w:numId w:val="12"/>
        </w:numPr>
        <w:spacing w:after="0"/>
        <w:jc w:val="both"/>
        <w:rPr>
          <w:bCs/>
          <w:kern w:val="28"/>
        </w:rPr>
      </w:pPr>
      <w:r w:rsidRPr="00D7179A">
        <w:rPr>
          <w:bCs/>
          <w:kern w:val="28"/>
        </w:rPr>
        <w:t xml:space="preserve">Oświadczenie do wniosku o dofinansowanie w ramach RPO WD 2014-2020 Analiza oddziaływania na środowisko, z uwzględnieniem potrzeb dotyczących przystosowania się do zmiany klimatu </w:t>
      </w:r>
      <w:r>
        <w:rPr>
          <w:bCs/>
          <w:kern w:val="28"/>
        </w:rPr>
        <w:br/>
      </w:r>
      <w:r w:rsidRPr="00D7179A">
        <w:rPr>
          <w:bCs/>
          <w:kern w:val="28"/>
        </w:rPr>
        <w:t>i łagodzenia zmiany klimatu, a także odporności na klęski żywiołowe,</w:t>
      </w:r>
    </w:p>
    <w:p w:rsidR="00D7179A" w:rsidRPr="00D7179A" w:rsidRDefault="00D7179A" w:rsidP="00D7179A">
      <w:pPr>
        <w:pStyle w:val="Nagwek1"/>
        <w:keepLines w:val="0"/>
        <w:numPr>
          <w:ilvl w:val="0"/>
          <w:numId w:val="12"/>
        </w:numPr>
        <w:spacing w:before="0"/>
        <w:jc w:val="both"/>
        <w:rPr>
          <w:rFonts w:asciiTheme="minorHAnsi" w:hAnsiTheme="minorHAnsi" w:cs="Arial"/>
          <w:color w:val="auto"/>
          <w:sz w:val="22"/>
          <w:szCs w:val="22"/>
        </w:rPr>
      </w:pPr>
      <w:r w:rsidRPr="00D7179A">
        <w:rPr>
          <w:rFonts w:asciiTheme="minorHAnsi" w:hAnsiTheme="minorHAnsi" w:cs="Arial"/>
          <w:bCs w:val="0"/>
          <w:color w:val="auto"/>
          <w:sz w:val="22"/>
          <w:szCs w:val="22"/>
        </w:rPr>
        <w:t>Deklaracja organu odpowiedzialnego za monitorowanie obszarów natura 200</w:t>
      </w:r>
      <w:r w:rsidRPr="00D7179A">
        <w:rPr>
          <w:rFonts w:asciiTheme="minorHAnsi" w:hAnsiTheme="minorHAnsi" w:cs="Arial"/>
          <w:bCs w:val="0"/>
          <w:caps/>
          <w:color w:val="auto"/>
          <w:sz w:val="22"/>
          <w:szCs w:val="22"/>
        </w:rPr>
        <w:t>0,</w:t>
      </w:r>
    </w:p>
    <w:p w:rsidR="00D7179A" w:rsidRPr="00D7179A" w:rsidRDefault="00D7179A" w:rsidP="00D7179A">
      <w:pPr>
        <w:pStyle w:val="Nagwek1"/>
        <w:keepLines w:val="0"/>
        <w:numPr>
          <w:ilvl w:val="0"/>
          <w:numId w:val="12"/>
        </w:numPr>
        <w:spacing w:before="0"/>
        <w:jc w:val="both"/>
        <w:rPr>
          <w:rFonts w:asciiTheme="minorHAnsi" w:hAnsiTheme="minorHAnsi" w:cs="Arial"/>
          <w:bCs w:val="0"/>
          <w:color w:val="auto"/>
          <w:sz w:val="22"/>
          <w:szCs w:val="22"/>
        </w:rPr>
      </w:pPr>
      <w:bookmarkStart w:id="1" w:name="_Toc180218849"/>
      <w:bookmarkStart w:id="2" w:name="_Toc180921137"/>
      <w:r w:rsidRPr="00D7179A">
        <w:rPr>
          <w:rFonts w:asciiTheme="minorHAnsi" w:hAnsiTheme="minorHAnsi" w:cs="Arial"/>
          <w:bCs w:val="0"/>
          <w:color w:val="auto"/>
          <w:sz w:val="22"/>
          <w:szCs w:val="22"/>
        </w:rPr>
        <w:t>Deklaracja</w:t>
      </w:r>
      <w:r w:rsidRPr="00D7179A">
        <w:rPr>
          <w:rFonts w:asciiTheme="minorHAnsi" w:hAnsiTheme="minorHAnsi" w:cs="Arial"/>
          <w:bCs w:val="0"/>
          <w:color w:val="auto"/>
          <w:spacing w:val="60"/>
          <w:sz w:val="22"/>
          <w:szCs w:val="22"/>
        </w:rPr>
        <w:t xml:space="preserve"> </w:t>
      </w:r>
      <w:r w:rsidRPr="00D7179A">
        <w:rPr>
          <w:rFonts w:asciiTheme="minorHAnsi" w:hAnsiTheme="minorHAnsi" w:cs="Arial"/>
          <w:bCs w:val="0"/>
          <w:color w:val="auto"/>
          <w:sz w:val="22"/>
          <w:szCs w:val="22"/>
        </w:rPr>
        <w:t xml:space="preserve">właściwego organu odpowiedzialnego za </w:t>
      </w:r>
      <w:bookmarkEnd w:id="1"/>
      <w:bookmarkEnd w:id="2"/>
      <w:r w:rsidRPr="00D7179A">
        <w:rPr>
          <w:rFonts w:asciiTheme="minorHAnsi" w:hAnsiTheme="minorHAnsi" w:cs="Arial"/>
          <w:bCs w:val="0"/>
          <w:color w:val="auto"/>
          <w:sz w:val="22"/>
          <w:szCs w:val="22"/>
        </w:rPr>
        <w:t>gospodarkę wodną,</w:t>
      </w:r>
    </w:p>
    <w:p w:rsidR="00D7179A" w:rsidRPr="00D7179A" w:rsidRDefault="00D7179A" w:rsidP="00D7179A">
      <w:pPr>
        <w:spacing w:after="0"/>
        <w:rPr>
          <w:lang w:eastAsia="pl-PL"/>
        </w:rPr>
      </w:pPr>
      <w:r w:rsidRPr="00D7179A">
        <w:rPr>
          <w:lang w:eastAsia="pl-PL"/>
        </w:rPr>
        <w:t>są wymagane bez względu na stan zaawansowania robót budowlanych w projektach ubiegających się dofinansowanie w ramach RPO WD 2014-2020 zgodnie z instrukcją ich wypełniania i dołączania.</w:t>
      </w:r>
    </w:p>
    <w:p w:rsidR="00D7179A" w:rsidRPr="00D7179A" w:rsidRDefault="00D7179A" w:rsidP="00D7179A">
      <w:pPr>
        <w:rPr>
          <w:lang w:eastAsia="pl-PL"/>
        </w:rPr>
      </w:pPr>
    </w:p>
    <w:p w:rsidR="00D7179A" w:rsidRPr="00D7179A" w:rsidRDefault="00D7179A" w:rsidP="00D7179A">
      <w:pPr>
        <w:spacing w:after="0"/>
        <w:jc w:val="both"/>
        <w:rPr>
          <w:i/>
        </w:rPr>
      </w:pPr>
      <w:r w:rsidRPr="00D7179A">
        <w:rPr>
          <w:b/>
          <w:i/>
          <w:u w:val="single"/>
        </w:rPr>
        <w:t>Pytanie 8:</w:t>
      </w:r>
      <w:r w:rsidRPr="00D7179A">
        <w:rPr>
          <w:b/>
          <w:i/>
        </w:rPr>
        <w:t xml:space="preserve"> </w:t>
      </w:r>
      <w:r w:rsidRPr="00D7179A">
        <w:rPr>
          <w:i/>
        </w:rPr>
        <w:t xml:space="preserve">Czy wydatek dotyczący dokumentacji – ekspertyzy w zakresie oceny występowania miejsc gniazdowania gatunków objętych ochroną ścisłą na mocy rozporządzenia Ministra Środowiska </w:t>
      </w:r>
      <w:r>
        <w:rPr>
          <w:i/>
        </w:rPr>
        <w:br/>
      </w:r>
      <w:r w:rsidRPr="00D7179A">
        <w:rPr>
          <w:i/>
        </w:rPr>
        <w:t>w sprawie gatunków dziko występujących zwierząt objętych o</w:t>
      </w:r>
      <w:r>
        <w:rPr>
          <w:i/>
        </w:rPr>
        <w:t xml:space="preserve">chroną, będzie uznany za </w:t>
      </w:r>
      <w:r w:rsidRPr="00D7179A">
        <w:rPr>
          <w:i/>
        </w:rPr>
        <w:t>kwalifikowalny”?</w:t>
      </w:r>
    </w:p>
    <w:p w:rsidR="00D7179A" w:rsidRPr="00D7179A" w:rsidRDefault="00D7179A" w:rsidP="00D7179A">
      <w:pPr>
        <w:jc w:val="both"/>
        <w:rPr>
          <w:rFonts w:eastAsia="Times New Roman" w:cs="Arial"/>
          <w:lang w:eastAsia="pl-PL"/>
        </w:rPr>
      </w:pPr>
      <w:r w:rsidRPr="00D7179A">
        <w:t xml:space="preserve">- Zgodnie z załącznikiem nr 6 do Szczegółowego Opisu Osi Priorytetowych RPO WD 2014-2020 kwalifikowalna może być ww. ekspertyza jako element dokumentacji projektowej. Jednakże zwraca się uwagę, iż wydatki na przygotowanie dokumentacji projektu (wymaganej prawem krajowym lub wspólnotowym bądź przez IZ RPO WD) przekraczające 8% wartości całkowitych wydatków kwalifikowalnych projektu będą niekwalifikowalne. Limit ten weryfikowany jest jednorazowo na </w:t>
      </w:r>
      <w:r w:rsidRPr="00D7179A">
        <w:lastRenderedPageBreak/>
        <w:t xml:space="preserve">etapie oceny wniosku o dofinansowanie. Ponadto, aby wydatek był kwalifikowalny należy spełnić wszystkie pozostałe warunki wynikające z m.in. z Wytycznych </w:t>
      </w:r>
      <w:r w:rsidRPr="00D7179A">
        <w:rPr>
          <w:rFonts w:eastAsia="Times New Roman" w:cs="Arial"/>
          <w:lang w:eastAsia="pl-PL"/>
        </w:rPr>
        <w:t xml:space="preserve">w zakresie kwalifikowalności wydatków w ramach Europejskiego Funduszu Rozwoju Regionalnego, Europejskiego Funduszu Społecznego oraz Funduszu Spójności na lata 2014-2020. </w:t>
      </w:r>
    </w:p>
    <w:p w:rsidR="00D7179A" w:rsidRPr="00D7179A" w:rsidRDefault="00D7179A" w:rsidP="00D7179A">
      <w:pPr>
        <w:spacing w:after="0"/>
        <w:jc w:val="both"/>
        <w:rPr>
          <w:i/>
        </w:rPr>
      </w:pPr>
      <w:r w:rsidRPr="00D7179A">
        <w:rPr>
          <w:b/>
          <w:i/>
          <w:u w:val="single"/>
        </w:rPr>
        <w:t>Pytanie 9:</w:t>
      </w:r>
      <w:r w:rsidRPr="00D7179A">
        <w:rPr>
          <w:b/>
          <w:i/>
        </w:rPr>
        <w:t xml:space="preserve"> </w:t>
      </w:r>
      <w:r w:rsidRPr="00D7179A">
        <w:rPr>
          <w:i/>
        </w:rPr>
        <w:t>Dlaczego Regionalna Dyrekcja Ochrony Środowiska jest organem odpowiedzialnym za deklarację dot. gospodarki wodnej?</w:t>
      </w:r>
    </w:p>
    <w:p w:rsidR="00D7179A" w:rsidRPr="00D7179A" w:rsidRDefault="00D7179A" w:rsidP="00D7179A">
      <w:pPr>
        <w:jc w:val="both"/>
        <w:rPr>
          <w:rFonts w:eastAsia="Times New Roman" w:cs="Arial"/>
          <w:lang w:eastAsia="pl-PL"/>
        </w:rPr>
      </w:pPr>
      <w:r w:rsidRPr="00D7179A">
        <w:t xml:space="preserve">- Zgodnie z Wytycznymi </w:t>
      </w:r>
      <w:r w:rsidRPr="00D7179A">
        <w:rPr>
          <w:rFonts w:eastAsia="Times New Roman" w:cs="Arial"/>
          <w:lang w:eastAsia="pl-PL"/>
        </w:rPr>
        <w:t>w zakresie dokumentowania postępowania w sprawie oceny oddziaływania na środowisko dla przedsięwzięć współfinansowanych z krajowych lub regionalnych programów operacyjnych, RDOŚ został wskazany jako organ wydający Deklaracje w zakresie wpływu realizacji projektu na gospodarkę wodną.</w:t>
      </w:r>
    </w:p>
    <w:p w:rsidR="00003494" w:rsidRDefault="00003494" w:rsidP="00003494">
      <w:pPr>
        <w:jc w:val="both"/>
        <w:rPr>
          <w:b/>
          <w:u w:val="single"/>
        </w:rPr>
      </w:pPr>
      <w:r w:rsidRPr="00D7179A">
        <w:rPr>
          <w:b/>
          <w:u w:val="single"/>
        </w:rPr>
        <w:t xml:space="preserve">Pytania i odpowiedzi dot. spotkań informacyjnych dla potencjalnych beneficjentów Działania 4.3 zorganizowanych w dniach 8 </w:t>
      </w:r>
      <w:r>
        <w:rPr>
          <w:b/>
          <w:u w:val="single"/>
        </w:rPr>
        <w:t xml:space="preserve">i 9 grudnia 2015 r. w zakresie </w:t>
      </w:r>
      <w:r w:rsidRPr="00D7179A">
        <w:rPr>
          <w:b/>
          <w:u w:val="single"/>
        </w:rPr>
        <w:t xml:space="preserve">prezentacji: </w:t>
      </w:r>
    </w:p>
    <w:p w:rsidR="00003494" w:rsidRDefault="00003494" w:rsidP="00D7179A">
      <w:pPr>
        <w:rPr>
          <w:b/>
          <w:u w:val="single"/>
        </w:rPr>
      </w:pPr>
      <w:r w:rsidRPr="00003494">
        <w:rPr>
          <w:rFonts w:cs="Arial"/>
          <w:b/>
          <w:u w:val="single"/>
        </w:rPr>
        <w:t xml:space="preserve">„Kryteria wyboru projektów w ramach działania </w:t>
      </w:r>
      <w:r w:rsidRPr="00003494">
        <w:rPr>
          <w:rFonts w:cs="Arial"/>
          <w:b/>
          <w:bCs/>
          <w:i/>
          <w:u w:val="single"/>
        </w:rPr>
        <w:t>4.3  Dziedzictwo kulturowe”</w:t>
      </w:r>
    </w:p>
    <w:p w:rsidR="00003494" w:rsidRDefault="00003494" w:rsidP="00003494"/>
    <w:p w:rsidR="00003494" w:rsidRPr="00674751" w:rsidRDefault="00003494" w:rsidP="00003494">
      <w:pPr>
        <w:pStyle w:val="Akapitzlist"/>
        <w:numPr>
          <w:ilvl w:val="0"/>
          <w:numId w:val="15"/>
        </w:numPr>
        <w:spacing w:line="280" w:lineRule="exact"/>
        <w:jc w:val="both"/>
        <w:rPr>
          <w:b/>
        </w:rPr>
      </w:pPr>
      <w:r w:rsidRPr="00674751">
        <w:rPr>
          <w:b/>
        </w:rPr>
        <w:t>Czy na etapie złożenia wniosku o dofinansowan</w:t>
      </w:r>
      <w:r>
        <w:rPr>
          <w:b/>
        </w:rPr>
        <w:t>ie, w którym przewidziano remont zabytkowego budynku</w:t>
      </w:r>
      <w:r w:rsidRPr="00674751">
        <w:rPr>
          <w:b/>
        </w:rPr>
        <w:t xml:space="preserve"> wymagane jest posiadanie </w:t>
      </w:r>
      <w:r>
        <w:rPr>
          <w:b/>
        </w:rPr>
        <w:t xml:space="preserve">przez Wnioskodawcę </w:t>
      </w:r>
      <w:r w:rsidRPr="00674751">
        <w:rPr>
          <w:b/>
        </w:rPr>
        <w:t>pozwolenia na budowę?</w:t>
      </w:r>
    </w:p>
    <w:p w:rsidR="00003494" w:rsidRDefault="00003494" w:rsidP="00003494">
      <w:pPr>
        <w:spacing w:line="280" w:lineRule="exact"/>
        <w:jc w:val="both"/>
      </w:pPr>
      <w:r>
        <w:t>Na etapie złożenia wniosku o dofinansowanie nie jest wymagane posiadanie pozwolenia na budowę. Pozwolenie na budowę lub – w przypadku przedsięwzięć nie wymagających pozwolenia na budowę -zgłoszenie prac (zawierające adnotację, że organ nie wniósł zastrzeżeń w tym przedmiocie) jest wymagane na etapie podpisywania umowy o dofinansowanie.</w:t>
      </w:r>
    </w:p>
    <w:p w:rsidR="00003494" w:rsidRDefault="00003494" w:rsidP="00003494">
      <w:pPr>
        <w:spacing w:line="280" w:lineRule="exact"/>
        <w:jc w:val="both"/>
      </w:pPr>
      <w:r>
        <w:t>W odniesieniu do kryterium 9 „Gotowość projektu do realizacji” w ramach oceny projektu pod kątem spełniania kryteriów merytorycznych ogólnych, sprawdzane będzie na jakim etapie przygotowania znajduje się projekt. Ocena wyżej wymienionego kryterium przedstawia się następująco:</w:t>
      </w:r>
    </w:p>
    <w:p w:rsidR="00003494" w:rsidRDefault="00003494" w:rsidP="00003494">
      <w:pPr>
        <w:pStyle w:val="Akapitzlist"/>
        <w:numPr>
          <w:ilvl w:val="0"/>
          <w:numId w:val="13"/>
        </w:numPr>
        <w:spacing w:line="280" w:lineRule="exact"/>
        <w:jc w:val="both"/>
      </w:pPr>
      <w:r w:rsidRPr="002C7F3C">
        <w:t>0 pkt.</w:t>
      </w:r>
      <w:r>
        <w:t xml:space="preserve">  - w przypadku gdy projekt wymaga uzyskania decyzji budowlanych, ale jeszcze ich nie uzyskał lub uzyskał decyzje budowlane na mniej niż 40% wartości planowanych robót budowlanych,</w:t>
      </w:r>
    </w:p>
    <w:p w:rsidR="00003494" w:rsidRDefault="00003494" w:rsidP="00003494">
      <w:pPr>
        <w:pStyle w:val="Akapitzlist"/>
        <w:numPr>
          <w:ilvl w:val="0"/>
          <w:numId w:val="13"/>
        </w:numPr>
        <w:spacing w:line="280" w:lineRule="exact"/>
        <w:jc w:val="both"/>
      </w:pPr>
      <w:r w:rsidRPr="002C7F3C">
        <w:t>2 pkt.</w:t>
      </w:r>
      <w:r>
        <w:t xml:space="preserve"> – w przypadku gdy projekt wymaga uzyskania decyzji budowlanych i uzyskał decyzję budowlane na min. 40% wartości planowanych robót budowlanych,</w:t>
      </w:r>
    </w:p>
    <w:p w:rsidR="00003494" w:rsidRDefault="00003494" w:rsidP="00003494">
      <w:pPr>
        <w:pStyle w:val="Akapitzlist"/>
        <w:numPr>
          <w:ilvl w:val="0"/>
          <w:numId w:val="13"/>
        </w:numPr>
        <w:spacing w:line="280" w:lineRule="exact"/>
        <w:jc w:val="both"/>
      </w:pPr>
      <w:r w:rsidRPr="002C7F3C">
        <w:t>4 pkt.</w:t>
      </w:r>
      <w:r>
        <w:t xml:space="preserve"> – w przypadku gdy projekt wymaga uzyskania decyzji budowlanych i posiada wszystkie decyzje budowlane dla całego zakresu inwestycji,</w:t>
      </w:r>
    </w:p>
    <w:p w:rsidR="00003494" w:rsidRDefault="00003494" w:rsidP="00003494">
      <w:pPr>
        <w:pStyle w:val="Akapitzlist"/>
        <w:numPr>
          <w:ilvl w:val="0"/>
          <w:numId w:val="13"/>
        </w:numPr>
        <w:spacing w:line="280" w:lineRule="exact"/>
        <w:jc w:val="both"/>
      </w:pPr>
      <w:r w:rsidRPr="002C7F3C">
        <w:t>4 pkt.</w:t>
      </w:r>
      <w:r>
        <w:t xml:space="preserve"> – w przypadku gdy projekt nie wymaga uzyskania decyzji budowlanych.</w:t>
      </w:r>
    </w:p>
    <w:p w:rsidR="00003494" w:rsidRDefault="00003494" w:rsidP="00003494">
      <w:pPr>
        <w:pStyle w:val="Akapitzlist"/>
        <w:spacing w:line="280" w:lineRule="exact"/>
      </w:pPr>
    </w:p>
    <w:p w:rsidR="00003494" w:rsidRPr="00074C4F" w:rsidRDefault="00003494" w:rsidP="00003494">
      <w:pPr>
        <w:pStyle w:val="Akapitzlist"/>
        <w:numPr>
          <w:ilvl w:val="0"/>
          <w:numId w:val="15"/>
        </w:numPr>
        <w:spacing w:line="280" w:lineRule="exact"/>
      </w:pPr>
      <w:r w:rsidRPr="00074C4F">
        <w:rPr>
          <w:b/>
        </w:rPr>
        <w:t>Czy dofinansowaniem mogą zostać objęte projekty już zakończone?</w:t>
      </w:r>
    </w:p>
    <w:p w:rsidR="00003494" w:rsidRDefault="00003494" w:rsidP="00003494">
      <w:pPr>
        <w:spacing w:after="0" w:line="280" w:lineRule="exact"/>
        <w:jc w:val="both"/>
        <w:rPr>
          <w:rFonts w:eastAsia="Times New Roman" w:cs="Arial"/>
        </w:rPr>
      </w:pPr>
      <w:r w:rsidRPr="00074C4F">
        <w:rPr>
          <w:rFonts w:eastAsia="Times New Roman" w:cs="Arial"/>
        </w:rPr>
        <w:t>Do współfinansowania ze środków UE nie można przedłożyć projektu, który został fizycznie ukończony (w przypadku robót budowlanych) lub w pełni zrealizowany (w przypadku dostaw i usług) przed przedłożeniem wniosku o dofinansowanie, niezależnie od tego, czy</w:t>
      </w:r>
      <w:r>
        <w:rPr>
          <w:rFonts w:eastAsia="Times New Roman" w:cs="Arial"/>
        </w:rPr>
        <w:t xml:space="preserve"> </w:t>
      </w:r>
      <w:r w:rsidRPr="00074C4F">
        <w:rPr>
          <w:rFonts w:eastAsia="Times New Roman" w:cs="Arial"/>
        </w:rPr>
        <w:t>wszystkie dotyczące tego projektu płatności zostały przez beneficjenta dokonane z zastrzeżeniem zasad określonych dla pomocy publicznej. Przez projekt ukończony/zrealizowany należy rozumieć projekt, dla którego przed dniem złożenia wniosku o dofinansowanie nastąpił odbiór ostatnich robót, dostaw lub usług</w:t>
      </w:r>
      <w:r>
        <w:rPr>
          <w:rFonts w:eastAsia="Times New Roman" w:cs="Arial"/>
        </w:rPr>
        <w:t>.</w:t>
      </w:r>
      <w:r w:rsidRPr="00074C4F">
        <w:rPr>
          <w:rFonts w:eastAsia="Times New Roman" w:cs="Arial"/>
        </w:rPr>
        <w:t xml:space="preserve"> </w:t>
      </w:r>
    </w:p>
    <w:p w:rsidR="00003494" w:rsidRDefault="00003494" w:rsidP="00003494">
      <w:pPr>
        <w:spacing w:after="0" w:line="280" w:lineRule="exact"/>
        <w:jc w:val="both"/>
        <w:rPr>
          <w:rFonts w:eastAsia="Times New Roman" w:cs="Arial"/>
        </w:rPr>
      </w:pPr>
    </w:p>
    <w:p w:rsidR="00003494" w:rsidRDefault="00003494" w:rsidP="00003494">
      <w:pPr>
        <w:pStyle w:val="Akapitzlist"/>
        <w:numPr>
          <w:ilvl w:val="0"/>
          <w:numId w:val="15"/>
        </w:numPr>
        <w:spacing w:line="280" w:lineRule="exact"/>
        <w:contextualSpacing w:val="0"/>
        <w:jc w:val="both"/>
        <w:rPr>
          <w:b/>
        </w:rPr>
      </w:pPr>
      <w:r w:rsidRPr="00674751">
        <w:rPr>
          <w:b/>
        </w:rPr>
        <w:lastRenderedPageBreak/>
        <w:t>Jakie są wymagania dotyczące zapewnienia przez Wnioskodawcę środków na realizację projektu?</w:t>
      </w:r>
    </w:p>
    <w:p w:rsidR="00003494" w:rsidRDefault="00003494" w:rsidP="00003494">
      <w:pPr>
        <w:pStyle w:val="Akapitzlist"/>
        <w:spacing w:line="280" w:lineRule="exact"/>
        <w:ind w:left="0"/>
        <w:contextualSpacing w:val="0"/>
        <w:jc w:val="both"/>
      </w:pPr>
      <w:r w:rsidRPr="00674751">
        <w:t xml:space="preserve">Wnioskodawca na etapie złożenia wniosku o dofinansowanie </w:t>
      </w:r>
      <w:r>
        <w:t>składa</w:t>
      </w:r>
      <w:r w:rsidRPr="00674751">
        <w:t xml:space="preserve"> pisemne oświadczenie</w:t>
      </w:r>
      <w:r>
        <w:t xml:space="preserve">, w którym </w:t>
      </w:r>
      <w:r w:rsidRPr="00674751">
        <w:t>deklaruje</w:t>
      </w:r>
      <w:r>
        <w:t>, że posiada</w:t>
      </w:r>
      <w:r w:rsidRPr="00674751">
        <w:t xml:space="preserve"> środk</w:t>
      </w:r>
      <w:r>
        <w:t>i</w:t>
      </w:r>
      <w:r w:rsidRPr="00674751">
        <w:t xml:space="preserve"> na realizację projektu. W momencie podpisania umowy </w:t>
      </w:r>
      <w:r>
        <w:br/>
      </w:r>
      <w:r w:rsidRPr="00674751">
        <w:t xml:space="preserve">o dofinansowanie wymagane jest </w:t>
      </w:r>
      <w:r>
        <w:t>przedstawienie</w:t>
      </w:r>
      <w:r w:rsidRPr="00674751">
        <w:t xml:space="preserve"> dokumentów poświadczających </w:t>
      </w:r>
      <w:r>
        <w:t xml:space="preserve">posiadanie </w:t>
      </w:r>
      <w:r w:rsidRPr="00674751">
        <w:t xml:space="preserve"> </w:t>
      </w:r>
      <w:r>
        <w:t xml:space="preserve">tych </w:t>
      </w:r>
      <w:r w:rsidRPr="00674751">
        <w:t>środków (np. kredyt bankowy, uchw</w:t>
      </w:r>
      <w:r>
        <w:t>ała rezerwująca określone środki</w:t>
      </w:r>
      <w:r w:rsidRPr="00674751">
        <w:t xml:space="preserve"> w budżecie JST).</w:t>
      </w:r>
    </w:p>
    <w:p w:rsidR="00003494" w:rsidRDefault="00003494" w:rsidP="00003494">
      <w:pPr>
        <w:pStyle w:val="Akapitzlist"/>
        <w:numPr>
          <w:ilvl w:val="0"/>
          <w:numId w:val="15"/>
        </w:numPr>
        <w:spacing w:line="280" w:lineRule="exact"/>
        <w:jc w:val="both"/>
        <w:rPr>
          <w:b/>
        </w:rPr>
      </w:pPr>
      <w:r w:rsidRPr="00BF0BB1">
        <w:rPr>
          <w:b/>
        </w:rPr>
        <w:t xml:space="preserve">Czy </w:t>
      </w:r>
      <w:r>
        <w:rPr>
          <w:b/>
        </w:rPr>
        <w:t xml:space="preserve">w ramach działania 4.3 istnieje możliwość renowacji/remontu zabytkowej elewacji </w:t>
      </w:r>
      <w:r w:rsidRPr="00BF0BB1">
        <w:rPr>
          <w:b/>
        </w:rPr>
        <w:t xml:space="preserve"> ?</w:t>
      </w:r>
    </w:p>
    <w:p w:rsidR="00003494" w:rsidRDefault="00003494" w:rsidP="00003494">
      <w:pPr>
        <w:spacing w:line="280" w:lineRule="exact"/>
        <w:jc w:val="both"/>
      </w:pPr>
      <w:r w:rsidRPr="00CD2908">
        <w:t>Tak, ale nie jest to projekt preferowany (nie otrzyma dodatkowych punktów</w:t>
      </w:r>
      <w:r>
        <w:t xml:space="preserve"> za udostępnienie nowych powierzchni do zwiedzania</w:t>
      </w:r>
      <w:r w:rsidRPr="00CD2908">
        <w:t>).</w:t>
      </w:r>
    </w:p>
    <w:p w:rsidR="00003494" w:rsidRPr="00CF3C21" w:rsidRDefault="00003494" w:rsidP="00003494">
      <w:pPr>
        <w:pStyle w:val="Akapitzlist"/>
        <w:numPr>
          <w:ilvl w:val="0"/>
          <w:numId w:val="15"/>
        </w:numPr>
        <w:spacing w:line="280" w:lineRule="exact"/>
        <w:jc w:val="both"/>
        <w:rPr>
          <w:b/>
        </w:rPr>
      </w:pPr>
      <w:r w:rsidRPr="00CF3C21">
        <w:rPr>
          <w:b/>
        </w:rPr>
        <w:t>W jaki sposób w ramach Działania 4.3 punktowane będzie spełnienie kryterium merytorycznego specyficznego dotyczącego „Zastosowania mul</w:t>
      </w:r>
      <w:r>
        <w:rPr>
          <w:b/>
        </w:rPr>
        <w:t>t</w:t>
      </w:r>
      <w:r w:rsidRPr="00CF3C21">
        <w:rPr>
          <w:b/>
        </w:rPr>
        <w:t>imediów”?</w:t>
      </w:r>
    </w:p>
    <w:p w:rsidR="00003494" w:rsidRPr="00F851CF" w:rsidRDefault="00003494" w:rsidP="00003494">
      <w:pPr>
        <w:spacing w:after="0" w:line="280" w:lineRule="exact"/>
        <w:jc w:val="both"/>
        <w:rPr>
          <w:rFonts w:cs="Arial"/>
        </w:rPr>
      </w:pPr>
      <w:r w:rsidRPr="00F851CF">
        <w:rPr>
          <w:rFonts w:cs="Arial"/>
        </w:rPr>
        <w:t>W ramach kryterium będzie sprawdzane czy w projekcie przewidziano zastosowanie multimediów (</w:t>
      </w:r>
      <w:r w:rsidRPr="00301F12">
        <w:t>wpływających na wzrost atrakcyjności prezentacji dziedzictwa kulturowego  i działalności kulturalnej)</w:t>
      </w:r>
      <w:r w:rsidRPr="00F851CF">
        <w:rPr>
          <w:rFonts w:cs="Arial"/>
        </w:rPr>
        <w:t>.</w:t>
      </w:r>
    </w:p>
    <w:p w:rsidR="00003494" w:rsidRPr="009F4F73" w:rsidRDefault="00003494" w:rsidP="00003494">
      <w:pPr>
        <w:pStyle w:val="Akapitzlist"/>
        <w:spacing w:after="0" w:line="280" w:lineRule="exact"/>
        <w:jc w:val="both"/>
        <w:rPr>
          <w:rFonts w:cs="Arial"/>
        </w:rPr>
      </w:pPr>
    </w:p>
    <w:p w:rsidR="00003494" w:rsidRDefault="00003494" w:rsidP="00003494">
      <w:pPr>
        <w:autoSpaceDE w:val="0"/>
        <w:autoSpaceDN w:val="0"/>
        <w:adjustRightInd w:val="0"/>
        <w:spacing w:after="0" w:line="280" w:lineRule="exact"/>
        <w:jc w:val="both"/>
        <w:rPr>
          <w:rFonts w:cs="Arial"/>
        </w:rPr>
      </w:pPr>
      <w:r w:rsidRPr="00F851CF">
        <w:rPr>
          <w:rFonts w:cs="Arial"/>
        </w:rPr>
        <w:t>Stworzenie wyłącznie strony internetowej dot. zabytku lub prowadzonej działalności kulturalnej nie będzie traktowane jako zastosowanie multimediów.</w:t>
      </w:r>
      <w:r>
        <w:rPr>
          <w:rFonts w:cs="Arial"/>
        </w:rPr>
        <w:t xml:space="preserve"> Premiowane dodatkową punktacją będzie np. zakup infokiosków lub e-kiosków. </w:t>
      </w:r>
    </w:p>
    <w:p w:rsidR="00003494" w:rsidRDefault="00003494" w:rsidP="00003494">
      <w:pPr>
        <w:pStyle w:val="Akapitzlist"/>
        <w:spacing w:line="280" w:lineRule="exact"/>
        <w:ind w:left="0"/>
        <w:jc w:val="both"/>
      </w:pPr>
    </w:p>
    <w:p w:rsidR="00003494" w:rsidRDefault="00003494" w:rsidP="00003494">
      <w:pPr>
        <w:pStyle w:val="Akapitzlist"/>
        <w:numPr>
          <w:ilvl w:val="0"/>
          <w:numId w:val="15"/>
        </w:numPr>
        <w:spacing w:line="280" w:lineRule="exact"/>
        <w:contextualSpacing w:val="0"/>
        <w:jc w:val="both"/>
        <w:rPr>
          <w:b/>
        </w:rPr>
      </w:pPr>
      <w:r w:rsidRPr="00CF3C21">
        <w:rPr>
          <w:b/>
        </w:rPr>
        <w:t xml:space="preserve">Czy </w:t>
      </w:r>
      <w:r>
        <w:rPr>
          <w:b/>
        </w:rPr>
        <w:t xml:space="preserve">projekt polegający na </w:t>
      </w:r>
      <w:r w:rsidRPr="00CF3C21">
        <w:rPr>
          <w:b/>
        </w:rPr>
        <w:t>remon</w:t>
      </w:r>
      <w:r>
        <w:rPr>
          <w:b/>
        </w:rPr>
        <w:t>cie</w:t>
      </w:r>
      <w:r w:rsidRPr="00CF3C21">
        <w:rPr>
          <w:b/>
        </w:rPr>
        <w:t xml:space="preserve"> </w:t>
      </w:r>
      <w:r>
        <w:rPr>
          <w:b/>
        </w:rPr>
        <w:t xml:space="preserve">zabytkowych </w:t>
      </w:r>
      <w:r w:rsidRPr="00CF3C21">
        <w:rPr>
          <w:b/>
        </w:rPr>
        <w:t>murów miejskich</w:t>
      </w:r>
      <w:r>
        <w:rPr>
          <w:b/>
        </w:rPr>
        <w:t>,</w:t>
      </w:r>
      <w:r w:rsidRPr="00CF3C21">
        <w:rPr>
          <w:b/>
        </w:rPr>
        <w:t xml:space="preserve"> na tle których odbywałyby się inscenizacje historyczne</w:t>
      </w:r>
      <w:r>
        <w:rPr>
          <w:b/>
        </w:rPr>
        <w:t>, działalność wystawiennicza, teatralna, kino plenerowe itp. uzyska dodatkowe punkty w ramach kryterium specyficznego nr 5 „Oferta kulturalna/historyczna”</w:t>
      </w:r>
      <w:r w:rsidRPr="00CF3C21">
        <w:rPr>
          <w:b/>
        </w:rPr>
        <w:t>?</w:t>
      </w:r>
    </w:p>
    <w:p w:rsidR="00003494" w:rsidRDefault="00003494" w:rsidP="00003494">
      <w:pPr>
        <w:spacing w:after="0" w:line="280" w:lineRule="exact"/>
        <w:jc w:val="both"/>
      </w:pPr>
      <w:r>
        <w:t>Aby projekt polegający na remoncie zabytkowych murów miejskich i przeprowadzaniu z ich udziałem inscenizacji historycznych grup rekonstrukcyjnych, prowadzenia działalności wystawienniczej lub też kina plenerowego mógł otrzymać punkty w ramach kryterium „Oferta kulturalna/historyczna” w/w formy działalności:</w:t>
      </w:r>
    </w:p>
    <w:p w:rsidR="00003494" w:rsidRDefault="00003494" w:rsidP="00003494">
      <w:pPr>
        <w:spacing w:after="0" w:line="280" w:lineRule="exact"/>
        <w:jc w:val="both"/>
      </w:pPr>
      <w:r>
        <w:t>- muszą stanowić nową ofertę kulturalną lub historyczną, dotychczas nie prowadzoną w obiekcie objętym wsparciem,</w:t>
      </w:r>
    </w:p>
    <w:p w:rsidR="00003494" w:rsidRDefault="00003494" w:rsidP="00003494">
      <w:pPr>
        <w:spacing w:after="0" w:line="280" w:lineRule="exact"/>
        <w:jc w:val="both"/>
      </w:pPr>
      <w:r>
        <w:t>- muszą mieć charakter ciągły (</w:t>
      </w:r>
      <w:r w:rsidRPr="009F4F73">
        <w:rPr>
          <w:rFonts w:cs="Arial"/>
        </w:rPr>
        <w:t>ten warunek nie będzie spełniony dla nowych form mających charakter wyłącznie incydentalny, np. wydarzenie organizowane raz na rok</w:t>
      </w:r>
      <w:r>
        <w:t>),</w:t>
      </w:r>
    </w:p>
    <w:p w:rsidR="00003494" w:rsidRDefault="00003494" w:rsidP="00003494">
      <w:pPr>
        <w:spacing w:after="0" w:line="280" w:lineRule="exact"/>
        <w:jc w:val="both"/>
      </w:pPr>
      <w:r>
        <w:t>- muszą mieć bezpośredni fizyczny związek z zabytkowymi murami miejskimi poprzez np. organizację inscenizacji historycznych polegających na szturmie i zdobyciu murów miejskich lub np. na wyświetlaniu na murach miejskich filmów i utworzenie kina plenerowego w ramach nowej oferty kulturalnej (nie jest premiowane wykorzystywanie do inscenizacji historycznych grup rekonstrukcyjnych przestrzeni wokół murów miejskich, np. rynku miasta).</w:t>
      </w:r>
    </w:p>
    <w:p w:rsidR="00003494" w:rsidRDefault="00003494" w:rsidP="00003494">
      <w:pPr>
        <w:spacing w:after="0" w:line="280" w:lineRule="exact"/>
        <w:jc w:val="both"/>
      </w:pPr>
    </w:p>
    <w:p w:rsidR="00003494" w:rsidRPr="00BF0BB1" w:rsidRDefault="00003494" w:rsidP="00003494">
      <w:pPr>
        <w:pStyle w:val="Akapitzlist"/>
        <w:numPr>
          <w:ilvl w:val="0"/>
          <w:numId w:val="15"/>
        </w:numPr>
        <w:spacing w:line="280" w:lineRule="exact"/>
        <w:contextualSpacing w:val="0"/>
        <w:jc w:val="both"/>
        <w:rPr>
          <w:b/>
        </w:rPr>
      </w:pPr>
      <w:r w:rsidRPr="00BF0BB1">
        <w:rPr>
          <w:b/>
        </w:rPr>
        <w:t>Czy projekt otrzyma dodatkowe punkty za udostępnienie na cele kulturalne nowych powierzchni znajdujących się w tym samym budynku, w którym jest już prowadzona inna działalność kulturalna ?</w:t>
      </w:r>
    </w:p>
    <w:p w:rsidR="00003494" w:rsidRDefault="00003494" w:rsidP="00003494">
      <w:pPr>
        <w:pStyle w:val="Akapitzlist"/>
        <w:spacing w:line="280" w:lineRule="exact"/>
        <w:ind w:left="0"/>
        <w:contextualSpacing w:val="0"/>
        <w:jc w:val="both"/>
      </w:pPr>
      <w:r>
        <w:t xml:space="preserve">Nie – dodatkowe punkty zostaną przyznane tylko w przypadku udostępnienia w całości nowego obiektu. </w:t>
      </w:r>
    </w:p>
    <w:p w:rsidR="00003494" w:rsidRDefault="00003494" w:rsidP="00003494">
      <w:pPr>
        <w:pStyle w:val="Akapitzlist"/>
        <w:numPr>
          <w:ilvl w:val="0"/>
          <w:numId w:val="15"/>
        </w:numPr>
        <w:spacing w:line="280" w:lineRule="exact"/>
        <w:jc w:val="both"/>
        <w:rPr>
          <w:b/>
        </w:rPr>
      </w:pPr>
      <w:r w:rsidRPr="00BF0BB1">
        <w:rPr>
          <w:b/>
        </w:rPr>
        <w:t xml:space="preserve">Czy </w:t>
      </w:r>
      <w:r>
        <w:rPr>
          <w:b/>
        </w:rPr>
        <w:t xml:space="preserve">w ramach działania 4.3 istnieje możliwość renowacji/remontu elewacji </w:t>
      </w:r>
      <w:r w:rsidRPr="00BF0BB1">
        <w:rPr>
          <w:b/>
        </w:rPr>
        <w:t xml:space="preserve"> ?</w:t>
      </w:r>
    </w:p>
    <w:p w:rsidR="00003494" w:rsidRDefault="00003494" w:rsidP="00003494">
      <w:pPr>
        <w:spacing w:line="280" w:lineRule="exact"/>
        <w:jc w:val="both"/>
      </w:pPr>
      <w:r w:rsidRPr="00CD2908">
        <w:lastRenderedPageBreak/>
        <w:t>Tak, ale nie jest to projekt preferowany (nie otrzyma dodatkowych punktów).</w:t>
      </w:r>
    </w:p>
    <w:p w:rsidR="00003494" w:rsidRDefault="00003494" w:rsidP="00003494">
      <w:pPr>
        <w:pStyle w:val="Akapitzlist"/>
        <w:numPr>
          <w:ilvl w:val="0"/>
          <w:numId w:val="15"/>
        </w:numPr>
        <w:spacing w:line="280" w:lineRule="exact"/>
        <w:jc w:val="both"/>
        <w:rPr>
          <w:b/>
        </w:rPr>
      </w:pPr>
      <w:r>
        <w:rPr>
          <w:b/>
        </w:rPr>
        <w:t xml:space="preserve">Czy w ramach spełnienia kryterium specyficznego nr 6 „Doświadczenie branżowe wnioskodawcy” doświadczeniem w zakresie prowadzenia działalności związanej </w:t>
      </w:r>
      <w:r>
        <w:rPr>
          <w:b/>
        </w:rPr>
        <w:br/>
        <w:t>z zakresem i celem projektu powinien wykazać się wnioskodawca czy też potencjalny operator projektu ?</w:t>
      </w:r>
    </w:p>
    <w:p w:rsidR="00003494" w:rsidRPr="00207120" w:rsidRDefault="00003494" w:rsidP="00003494">
      <w:pPr>
        <w:spacing w:line="280" w:lineRule="exact"/>
        <w:jc w:val="both"/>
      </w:pPr>
      <w:r w:rsidRPr="00207120">
        <w:t>Aby otrzymać dodatkowe punkty w ramach wyżej wymienionego kryterium</w:t>
      </w:r>
      <w:r>
        <w:t>,</w:t>
      </w:r>
      <w:r w:rsidRPr="00207120">
        <w:t xml:space="preserve">  doświadczeniem </w:t>
      </w:r>
      <w:r>
        <w:br/>
      </w:r>
      <w:r w:rsidRPr="00207120">
        <w:t>z zakresu prowadzenia działalności związanej z zakresem i celem projektu powinien wykazać się wnioskodawca.</w:t>
      </w:r>
    </w:p>
    <w:p w:rsidR="00003494" w:rsidRDefault="00003494" w:rsidP="00003494">
      <w:pPr>
        <w:spacing w:line="280" w:lineRule="exact"/>
        <w:jc w:val="both"/>
      </w:pPr>
      <w:r w:rsidRPr="00207120">
        <w:t>Okres doświadczenia liczony będzie do momentu złożenia wniosku o dofinansowanie. Punktacja przedstawia się następująco:</w:t>
      </w:r>
    </w:p>
    <w:p w:rsidR="00003494" w:rsidRDefault="00003494" w:rsidP="00003494">
      <w:pPr>
        <w:pStyle w:val="Akapitzlist"/>
        <w:numPr>
          <w:ilvl w:val="0"/>
          <w:numId w:val="14"/>
        </w:numPr>
        <w:spacing w:line="280" w:lineRule="exact"/>
        <w:jc w:val="both"/>
      </w:pPr>
      <w:r>
        <w:t>2 pkt. – w przypadku posiadania przez wnioskodawcę ponad 3 letniego doświadczenia,</w:t>
      </w:r>
    </w:p>
    <w:p w:rsidR="00003494" w:rsidRDefault="00003494" w:rsidP="00003494">
      <w:pPr>
        <w:pStyle w:val="Akapitzlist"/>
        <w:numPr>
          <w:ilvl w:val="0"/>
          <w:numId w:val="14"/>
        </w:numPr>
        <w:spacing w:line="280" w:lineRule="exact"/>
        <w:jc w:val="both"/>
      </w:pPr>
      <w:r>
        <w:t>1 pkt. – w przypadku posiadania przez wnioskodawcę ponad 1 rocznego doświadczenia,</w:t>
      </w:r>
    </w:p>
    <w:p w:rsidR="00003494" w:rsidRPr="00207120" w:rsidRDefault="00003494" w:rsidP="00003494">
      <w:pPr>
        <w:pStyle w:val="Akapitzlist"/>
        <w:numPr>
          <w:ilvl w:val="0"/>
          <w:numId w:val="14"/>
        </w:numPr>
        <w:spacing w:line="280" w:lineRule="exact"/>
        <w:jc w:val="both"/>
      </w:pPr>
      <w:r>
        <w:t>0 pkt. – w przypadku nie posiadania przez wnioskodawcę doświadczenia lub posiadania doświadczenia poniżej 1 roku.</w:t>
      </w:r>
    </w:p>
    <w:p w:rsidR="00003494" w:rsidRPr="00163632" w:rsidRDefault="00003494" w:rsidP="00003494"/>
    <w:p w:rsidR="00305121" w:rsidRPr="00003494" w:rsidRDefault="00305121" w:rsidP="00003494"/>
    <w:sectPr w:rsidR="00305121" w:rsidRPr="00003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51" w:rsidRDefault="002D4551" w:rsidP="00420738">
      <w:pPr>
        <w:spacing w:after="0" w:line="240" w:lineRule="auto"/>
      </w:pPr>
      <w:r>
        <w:separator/>
      </w:r>
    </w:p>
  </w:endnote>
  <w:endnote w:type="continuationSeparator" w:id="0">
    <w:p w:rsidR="002D4551" w:rsidRDefault="002D4551" w:rsidP="0042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ABE92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51" w:rsidRDefault="002D4551" w:rsidP="00420738">
      <w:pPr>
        <w:spacing w:after="0" w:line="240" w:lineRule="auto"/>
      </w:pPr>
      <w:r>
        <w:separator/>
      </w:r>
    </w:p>
  </w:footnote>
  <w:footnote w:type="continuationSeparator" w:id="0">
    <w:p w:rsidR="002D4551" w:rsidRDefault="002D4551" w:rsidP="0042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2ECA"/>
    <w:multiLevelType w:val="hybridMultilevel"/>
    <w:tmpl w:val="7866671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0CF7663"/>
    <w:multiLevelType w:val="hybridMultilevel"/>
    <w:tmpl w:val="C2828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FC4CBD"/>
    <w:multiLevelType w:val="hybridMultilevel"/>
    <w:tmpl w:val="75B41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5277D6E"/>
    <w:multiLevelType w:val="hybridMultilevel"/>
    <w:tmpl w:val="8006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A77647"/>
    <w:multiLevelType w:val="hybridMultilevel"/>
    <w:tmpl w:val="AA96A792"/>
    <w:lvl w:ilvl="0" w:tplc="30B01B4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7">
    <w:nsid w:val="5B965FE7"/>
    <w:multiLevelType w:val="hybridMultilevel"/>
    <w:tmpl w:val="DFEA9A20"/>
    <w:lvl w:ilvl="0" w:tplc="A140B21E">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D22EEA"/>
    <w:multiLevelType w:val="hybridMultilevel"/>
    <w:tmpl w:val="E2B6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3D2B8F"/>
    <w:multiLevelType w:val="hybridMultilevel"/>
    <w:tmpl w:val="7D580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
    <w:nsid w:val="6F1E2770"/>
    <w:multiLevelType w:val="hybridMultilevel"/>
    <w:tmpl w:val="8F02E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217341"/>
    <w:multiLevelType w:val="hybridMultilevel"/>
    <w:tmpl w:val="515E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FA5969"/>
    <w:multiLevelType w:val="hybridMultilevel"/>
    <w:tmpl w:val="D7C2E7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13"/>
  </w:num>
  <w:num w:numId="5">
    <w:abstractNumId w:val="1"/>
  </w:num>
  <w:num w:numId="6">
    <w:abstractNumId w:val="11"/>
  </w:num>
  <w:num w:numId="7">
    <w:abstractNumId w:val="6"/>
  </w:num>
  <w:num w:numId="8">
    <w:abstractNumId w:val="3"/>
  </w:num>
  <w:num w:numId="9">
    <w:abstractNumId w:val="10"/>
  </w:num>
  <w:num w:numId="10">
    <w:abstractNumId w:val="14"/>
  </w:num>
  <w:num w:numId="11">
    <w:abstractNumId w:val="7"/>
  </w:num>
  <w:num w:numId="12">
    <w:abstractNumId w:val="0"/>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21"/>
    <w:rsid w:val="00003494"/>
    <w:rsid w:val="00032DC8"/>
    <w:rsid w:val="000433F7"/>
    <w:rsid w:val="0005013C"/>
    <w:rsid w:val="000D5749"/>
    <w:rsid w:val="000E241B"/>
    <w:rsid w:val="00106828"/>
    <w:rsid w:val="001114F6"/>
    <w:rsid w:val="001B6529"/>
    <w:rsid w:val="001B7841"/>
    <w:rsid w:val="00234D2B"/>
    <w:rsid w:val="002C6E86"/>
    <w:rsid w:val="002D4551"/>
    <w:rsid w:val="00305121"/>
    <w:rsid w:val="00320C93"/>
    <w:rsid w:val="00363069"/>
    <w:rsid w:val="00380A99"/>
    <w:rsid w:val="00420738"/>
    <w:rsid w:val="00446DCE"/>
    <w:rsid w:val="004F14DA"/>
    <w:rsid w:val="005278CB"/>
    <w:rsid w:val="00597F78"/>
    <w:rsid w:val="005B33CE"/>
    <w:rsid w:val="005F4E7C"/>
    <w:rsid w:val="006424F7"/>
    <w:rsid w:val="00725514"/>
    <w:rsid w:val="007E4E9A"/>
    <w:rsid w:val="007F1405"/>
    <w:rsid w:val="00806337"/>
    <w:rsid w:val="008220F8"/>
    <w:rsid w:val="008A50DE"/>
    <w:rsid w:val="008B38E5"/>
    <w:rsid w:val="008E0EEF"/>
    <w:rsid w:val="0094317B"/>
    <w:rsid w:val="00955C6C"/>
    <w:rsid w:val="009D2595"/>
    <w:rsid w:val="009F16DB"/>
    <w:rsid w:val="00AB0DD7"/>
    <w:rsid w:val="00AC0EB7"/>
    <w:rsid w:val="00AD1319"/>
    <w:rsid w:val="00B025C8"/>
    <w:rsid w:val="00B3746C"/>
    <w:rsid w:val="00B64C27"/>
    <w:rsid w:val="00B84FEF"/>
    <w:rsid w:val="00B864FA"/>
    <w:rsid w:val="00BD08E3"/>
    <w:rsid w:val="00C01D25"/>
    <w:rsid w:val="00C839A3"/>
    <w:rsid w:val="00C9667A"/>
    <w:rsid w:val="00D24E60"/>
    <w:rsid w:val="00D7179A"/>
    <w:rsid w:val="00DA0C18"/>
    <w:rsid w:val="00F838B2"/>
    <w:rsid w:val="00FE48C1"/>
    <w:rsid w:val="00FF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6FC43-5660-4E5F-A36F-C35E4B3A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864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link w:val="Nagwek3Znak"/>
    <w:uiPriority w:val="9"/>
    <w:unhideWhenUsed/>
    <w:qFormat/>
    <w:rsid w:val="00DA0C18"/>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05121"/>
    <w:pPr>
      <w:ind w:left="720"/>
      <w:contextualSpacing/>
    </w:pPr>
  </w:style>
  <w:style w:type="paragraph" w:styleId="Tekstprzypisukocowego">
    <w:name w:val="endnote text"/>
    <w:basedOn w:val="Normalny"/>
    <w:link w:val="TekstprzypisukocowegoZnak"/>
    <w:uiPriority w:val="99"/>
    <w:semiHidden/>
    <w:unhideWhenUsed/>
    <w:rsid w:val="00420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738"/>
    <w:rPr>
      <w:sz w:val="20"/>
      <w:szCs w:val="20"/>
    </w:rPr>
  </w:style>
  <w:style w:type="character" w:styleId="Odwoanieprzypisukocowego">
    <w:name w:val="endnote reference"/>
    <w:basedOn w:val="Domylnaczcionkaakapitu"/>
    <w:uiPriority w:val="99"/>
    <w:semiHidden/>
    <w:unhideWhenUsed/>
    <w:rsid w:val="00420738"/>
    <w:rPr>
      <w:vertAlign w:val="superscript"/>
    </w:rPr>
  </w:style>
  <w:style w:type="character" w:customStyle="1" w:styleId="AkapitzlistZnak">
    <w:name w:val="Akapit z listą Znak"/>
    <w:link w:val="Akapitzlist"/>
    <w:rsid w:val="00234D2B"/>
  </w:style>
  <w:style w:type="character" w:styleId="Hipercze">
    <w:name w:val="Hyperlink"/>
    <w:basedOn w:val="Domylnaczcionkaakapitu"/>
    <w:unhideWhenUsed/>
    <w:rsid w:val="00955C6C"/>
    <w:rPr>
      <w:color w:val="0000FF" w:themeColor="hyperlink"/>
      <w:u w:val="single"/>
    </w:rPr>
  </w:style>
  <w:style w:type="character" w:customStyle="1" w:styleId="Nagwek3Znak">
    <w:name w:val="Nagłówek 3 Znak"/>
    <w:basedOn w:val="Domylnaczcionkaakapitu"/>
    <w:link w:val="Nagwek3"/>
    <w:uiPriority w:val="9"/>
    <w:rsid w:val="00DA0C18"/>
    <w:rPr>
      <w:rFonts w:ascii="Times New Roman" w:hAnsi="Times New Roman" w:cs="Times New Roman"/>
      <w:b/>
      <w:bCs/>
      <w:sz w:val="27"/>
      <w:szCs w:val="27"/>
      <w:lang w:eastAsia="pl-PL"/>
    </w:rPr>
  </w:style>
  <w:style w:type="character" w:customStyle="1" w:styleId="Nagwek1Znak">
    <w:name w:val="Nagłówek 1 Znak"/>
    <w:basedOn w:val="Domylnaczcionkaakapitu"/>
    <w:link w:val="Nagwek1"/>
    <w:rsid w:val="00B864FA"/>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5B33CE"/>
    <w:rPr>
      <w:sz w:val="16"/>
      <w:szCs w:val="16"/>
    </w:rPr>
  </w:style>
  <w:style w:type="paragraph" w:styleId="Tekstkomentarza">
    <w:name w:val="annotation text"/>
    <w:basedOn w:val="Normalny"/>
    <w:link w:val="TekstkomentarzaZnak"/>
    <w:uiPriority w:val="99"/>
    <w:semiHidden/>
    <w:unhideWhenUsed/>
    <w:rsid w:val="005B33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3CE"/>
    <w:rPr>
      <w:sz w:val="20"/>
      <w:szCs w:val="20"/>
    </w:rPr>
  </w:style>
  <w:style w:type="paragraph" w:styleId="Tematkomentarza">
    <w:name w:val="annotation subject"/>
    <w:basedOn w:val="Tekstkomentarza"/>
    <w:next w:val="Tekstkomentarza"/>
    <w:link w:val="TematkomentarzaZnak"/>
    <w:uiPriority w:val="99"/>
    <w:semiHidden/>
    <w:unhideWhenUsed/>
    <w:rsid w:val="005B33CE"/>
    <w:rPr>
      <w:b/>
      <w:bCs/>
    </w:rPr>
  </w:style>
  <w:style w:type="character" w:customStyle="1" w:styleId="TematkomentarzaZnak">
    <w:name w:val="Temat komentarza Znak"/>
    <w:basedOn w:val="TekstkomentarzaZnak"/>
    <w:link w:val="Tematkomentarza"/>
    <w:uiPriority w:val="99"/>
    <w:semiHidden/>
    <w:rsid w:val="005B33CE"/>
    <w:rPr>
      <w:b/>
      <w:bCs/>
      <w:sz w:val="20"/>
      <w:szCs w:val="20"/>
    </w:rPr>
  </w:style>
  <w:style w:type="paragraph" w:styleId="Tekstdymka">
    <w:name w:val="Balloon Text"/>
    <w:basedOn w:val="Normalny"/>
    <w:link w:val="TekstdymkaZnak"/>
    <w:uiPriority w:val="99"/>
    <w:semiHidden/>
    <w:unhideWhenUsed/>
    <w:rsid w:val="005B33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3CE"/>
    <w:rPr>
      <w:rFonts w:ascii="Tahoma" w:hAnsi="Tahoma" w:cs="Tahoma"/>
      <w:sz w:val="16"/>
      <w:szCs w:val="16"/>
    </w:rPr>
  </w:style>
  <w:style w:type="paragraph" w:styleId="Nagwek">
    <w:name w:val="header"/>
    <w:aliases w:val="Znak Znak,Znak"/>
    <w:basedOn w:val="Normalny"/>
    <w:link w:val="NagwekZnak"/>
    <w:unhideWhenUsed/>
    <w:rsid w:val="001B6529"/>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1B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30223">
      <w:bodyDiv w:val="1"/>
      <w:marLeft w:val="0"/>
      <w:marRight w:val="0"/>
      <w:marTop w:val="0"/>
      <w:marBottom w:val="0"/>
      <w:divBdr>
        <w:top w:val="none" w:sz="0" w:space="0" w:color="auto"/>
        <w:left w:val="none" w:sz="0" w:space="0" w:color="auto"/>
        <w:bottom w:val="none" w:sz="0" w:space="0" w:color="auto"/>
        <w:right w:val="none" w:sz="0" w:space="0" w:color="auto"/>
      </w:divBdr>
    </w:div>
    <w:div w:id="1082145253">
      <w:bodyDiv w:val="1"/>
      <w:marLeft w:val="0"/>
      <w:marRight w:val="0"/>
      <w:marTop w:val="0"/>
      <w:marBottom w:val="0"/>
      <w:divBdr>
        <w:top w:val="none" w:sz="0" w:space="0" w:color="auto"/>
        <w:left w:val="none" w:sz="0" w:space="0" w:color="auto"/>
        <w:bottom w:val="none" w:sz="0" w:space="0" w:color="auto"/>
        <w:right w:val="none" w:sz="0" w:space="0" w:color="auto"/>
      </w:divBdr>
    </w:div>
    <w:div w:id="16105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o.dolnysla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media/5594/Przewodnik_AKK_14_20.pdf" TargetMode="External"/><Relationship Id="rId5" Type="http://schemas.openxmlformats.org/officeDocument/2006/relationships/footnotes" Target="footnotes.xml"/><Relationship Id="rId10" Type="http://schemas.openxmlformats.org/officeDocument/2006/relationships/hyperlink" Target="http://www.funduszeeuropejskie.gov.pl/media/5193/NOWE_Wytyczne_PGD_PH_2014_2020_podpisane.pdf" TargetMode="External"/><Relationship Id="rId4" Type="http://schemas.openxmlformats.org/officeDocument/2006/relationships/webSettings" Target="webSettings.xml"/><Relationship Id="rId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4012</Words>
  <Characters>24073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Mikołajczyk</dc:creator>
  <cp:lastModifiedBy>Izabela Stywryszko</cp:lastModifiedBy>
  <cp:revision>2</cp:revision>
  <dcterms:created xsi:type="dcterms:W3CDTF">2015-12-22T11:47:00Z</dcterms:created>
  <dcterms:modified xsi:type="dcterms:W3CDTF">2015-12-22T11:47:00Z</dcterms:modified>
</cp:coreProperties>
</file>