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9007B" w:rsidRDefault="004D0988" w:rsidP="00A9007B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A9007B" w:rsidRPr="00A0185B" w:rsidRDefault="00A9007B" w:rsidP="00A9007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 xml:space="preserve">Miasto Jelenia Góra pełniące funkcję </w:t>
      </w:r>
    </w:p>
    <w:p w:rsidR="00A9007B" w:rsidRPr="00A0185B" w:rsidRDefault="00A9007B" w:rsidP="00A9007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>Instytucji Pośredniczącej w ramach instrumentu Zintegrowane Inwestycje Terytorialne Regionalnego Programu Operacyjnego Województwa Dolnośląskiego 2014-2020</w:t>
      </w: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D0988" w:rsidRPr="00D82D0E" w:rsidRDefault="004D0988" w:rsidP="004D098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 xml:space="preserve">dniczącej w ramach instrumentu 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>Zinte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>growane Inwestycje Terytorialne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Regionalnego Programu Operacyjnego Województwa Dolnośląskiego 2014–2020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172155" w:rsidRPr="00116E8E" w:rsidRDefault="00172155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172155">
        <w:rPr>
          <w:rFonts w:cs="Arial"/>
          <w:b/>
          <w:sz w:val="32"/>
          <w:szCs w:val="32"/>
        </w:rPr>
        <w:t>Oś priorytetowa 7 Infrastruktura edukacyjna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Działanie 7.2 Inwestycje w edukację ponadgimnazjalną, </w:t>
      </w:r>
      <w:r w:rsidRPr="00172155">
        <w:rPr>
          <w:rFonts w:cs="Arial"/>
          <w:b/>
          <w:sz w:val="32"/>
          <w:szCs w:val="32"/>
        </w:rPr>
        <w:br/>
        <w:t>w tym zawodową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>Poddziałanie 7.2.</w:t>
      </w:r>
      <w:r w:rsidR="00A9007B">
        <w:rPr>
          <w:rFonts w:cs="Arial"/>
          <w:b/>
          <w:sz w:val="32"/>
          <w:szCs w:val="32"/>
        </w:rPr>
        <w:t>3</w:t>
      </w:r>
      <w:r w:rsidRPr="00172155">
        <w:rPr>
          <w:rFonts w:cs="Arial"/>
          <w:b/>
          <w:sz w:val="32"/>
          <w:szCs w:val="32"/>
        </w:rPr>
        <w:t xml:space="preserve"> Inwestycje w edukację ponadgimnazjalną, w tym zawodową – ZIT </w:t>
      </w:r>
      <w:r w:rsidR="00A9007B">
        <w:rPr>
          <w:rFonts w:cs="Arial"/>
          <w:b/>
          <w:sz w:val="32"/>
          <w:szCs w:val="32"/>
        </w:rPr>
        <w:t>AJ</w:t>
      </w:r>
      <w:r w:rsidRPr="00172155">
        <w:rPr>
          <w:rFonts w:cs="Arial"/>
          <w:b/>
          <w:sz w:val="32"/>
          <w:szCs w:val="32"/>
        </w:rPr>
        <w:t xml:space="preserve"> </w:t>
      </w:r>
      <w:bookmarkEnd w:id="0"/>
      <w:bookmarkEnd w:id="1"/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Nr naboru </w:t>
      </w:r>
      <w:r w:rsidRPr="00172155">
        <w:rPr>
          <w:rFonts w:cs="Arial"/>
          <w:b/>
          <w:bCs/>
          <w:sz w:val="32"/>
          <w:szCs w:val="32"/>
        </w:rPr>
        <w:t>RPDS.07.02.0</w:t>
      </w:r>
      <w:r w:rsidR="00A9007B">
        <w:rPr>
          <w:rFonts w:cs="Arial"/>
          <w:b/>
          <w:bCs/>
          <w:sz w:val="32"/>
          <w:szCs w:val="32"/>
        </w:rPr>
        <w:t>3</w:t>
      </w:r>
      <w:r w:rsidRPr="00172155">
        <w:rPr>
          <w:rFonts w:cs="Arial"/>
          <w:b/>
          <w:bCs/>
          <w:sz w:val="32"/>
          <w:szCs w:val="32"/>
        </w:rPr>
        <w:t>-IZ.00-02-31</w:t>
      </w:r>
      <w:r w:rsidR="00A9007B">
        <w:rPr>
          <w:rFonts w:cs="Arial"/>
          <w:b/>
          <w:bCs/>
          <w:sz w:val="32"/>
          <w:szCs w:val="32"/>
        </w:rPr>
        <w:t>3</w:t>
      </w:r>
      <w:r w:rsidRPr="00172155">
        <w:rPr>
          <w:rFonts w:cs="Arial"/>
          <w:b/>
          <w:bCs/>
          <w:sz w:val="32"/>
          <w:szCs w:val="32"/>
        </w:rPr>
        <w:t>/18</w:t>
      </w:r>
    </w:p>
    <w:p w:rsidR="00172155" w:rsidRPr="00040A4A" w:rsidRDefault="00172155" w:rsidP="00145D18">
      <w:pPr>
        <w:spacing w:line="240" w:lineRule="auto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 xml:space="preserve">wa Dolnośląskiego 2014-2020 </w:t>
      </w:r>
      <w:r w:rsidR="00172155" w:rsidRPr="00172155">
        <w:rPr>
          <w:rFonts w:cs="Calibri"/>
          <w:color w:val="000000"/>
          <w:sz w:val="24"/>
          <w:szCs w:val="24"/>
        </w:rPr>
        <w:t>Osi priorytetowej 7 Infrastruktura edukacyjna Działanie 7.2 Inwestycje w edukację ponadgimnazjalną, w</w:t>
      </w:r>
      <w:r w:rsidR="00172155">
        <w:rPr>
          <w:rFonts w:cs="Calibri"/>
          <w:color w:val="000000"/>
          <w:sz w:val="24"/>
          <w:szCs w:val="24"/>
        </w:rPr>
        <w:t xml:space="preserve"> tym zawodową</w:t>
      </w:r>
      <w:r w:rsidRPr="00276AA7">
        <w:rPr>
          <w:rFonts w:cs="Calibri"/>
          <w:color w:val="000000"/>
          <w:sz w:val="24"/>
          <w:szCs w:val="24"/>
        </w:rPr>
        <w:t>:</w:t>
      </w:r>
    </w:p>
    <w:p w:rsidR="00172155" w:rsidRDefault="00172155" w:rsidP="00CE42E2">
      <w:pPr>
        <w:pStyle w:val="Akapitzlist"/>
        <w:suppressAutoHyphens/>
        <w:spacing w:line="360" w:lineRule="auto"/>
        <w:ind w:left="0"/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</w:pP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Poddziałanie 7.2.</w:t>
      </w:r>
      <w:r w:rsidR="00A9007B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3</w:t>
      </w: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 Inwestycje w edukację ponadgimnazjalną, w tym zawodową – ZIT </w:t>
      </w:r>
      <w:r w:rsidR="00A9007B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AJ</w:t>
      </w: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 </w:t>
      </w:r>
    </w:p>
    <w:p w:rsidR="00276AA7" w:rsidRPr="00CE42E2" w:rsidRDefault="001E2DC4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1E2DC4">
        <w:rPr>
          <w:rFonts w:asciiTheme="minorHAnsi" w:hAnsiTheme="minorHAnsi" w:cs="Calibri"/>
          <w:b/>
          <w:color w:val="000000"/>
          <w:sz w:val="24"/>
          <w:szCs w:val="24"/>
        </w:rPr>
        <w:t>Nabór w trybie konkursowym – dla beneficjentów realizujących przedsięwzięcia na terenie Aglomeracji Jeleniogórskiej określonej w Strategii ZIT AJ</w:t>
      </w:r>
      <w:r w:rsidR="00276AA7" w:rsidRPr="00276AA7">
        <w:rPr>
          <w:rFonts w:asciiTheme="minorHAnsi" w:hAnsiTheme="minorHAnsi" w:cs="Calibri"/>
          <w:b/>
          <w:color w:val="000000"/>
          <w:sz w:val="24"/>
          <w:szCs w:val="24"/>
        </w:rPr>
        <w:t>.</w:t>
      </w:r>
    </w:p>
    <w:p w:rsidR="001E2DC4" w:rsidRDefault="001E2DC4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1E2DC4">
        <w:rPr>
          <w:rFonts w:asciiTheme="minorHAnsi" w:hAnsiTheme="minorHAnsi"/>
          <w:sz w:val="24"/>
          <w:szCs w:val="24"/>
        </w:rPr>
        <w:t>W skład Aglomeracji Jeleniogórskiej określonej w Strategii ZIT AJ wchodzą Miasta i Gminy: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 xml:space="preserve">Konkurs ogłasza Instytucja Zarządzająca Regionalnym Programem Operacyjnym Województwa Dolnośląskiego 2014-2020  </w:t>
      </w:r>
      <w:r w:rsidR="00995992" w:rsidRPr="00995992">
        <w:rPr>
          <w:sz w:val="24"/>
          <w:szCs w:val="24"/>
        </w:rPr>
        <w:t>oraz Miasto Jelenia Góra, któremu zostało powierzone zarządzanie Zintegrowanymi Inwestycjami Terytorialnymi Aglomeracji Jeleniogórskiej pełniące rolę Instytucji Organizującej Konkurs.</w:t>
      </w:r>
      <w:r w:rsidRPr="00C22866">
        <w:rPr>
          <w:sz w:val="24"/>
          <w:szCs w:val="24"/>
        </w:rPr>
        <w:t xml:space="preserve">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Pr="00C22866">
        <w:rPr>
          <w:rFonts w:asciiTheme="minorHAnsi" w:hAnsiTheme="minorHAnsi"/>
          <w:sz w:val="24"/>
          <w:szCs w:val="24"/>
        </w:rPr>
        <w:br/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995992" w:rsidRPr="00995992" w:rsidRDefault="00995992" w:rsidP="00995992">
      <w:pPr>
        <w:spacing w:before="120" w:after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oraz </w:t>
      </w:r>
      <w:r w:rsidRPr="00995992">
        <w:rPr>
          <w:bCs/>
          <w:sz w:val="24"/>
          <w:szCs w:val="24"/>
        </w:rPr>
        <w:t>ZIT AJ pełniące funkcję Instytucji Pośredniczącej, ul. Okrzei 10, 58-500 Jelenia Góra.</w:t>
      </w:r>
    </w:p>
    <w:p w:rsidR="008A515C" w:rsidRDefault="008A515C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B37ED3" w:rsidRPr="00C22866" w:rsidRDefault="00B37ED3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Przedmiotem konkursów są następujące typy projektów określone dla działania 7.2 Inwestycje w edukację ponadgimnazjalną (ponadpodstawową), w tym zawodową: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7.2.A  Przedsięwzięcia prowadzące bezpośrednio do poprawy warunków nauczania zwłaszcza w zakresie zajęć matematyczno-przyrodniczych i cyfrowych realizowane poprzez przebudowę, rozbudowę  lub adaptację (w tym także zakup wyposażenia) placówek i szkół ponadpodstawowych, w tym zawodowych i specjalnych.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7.2.B Przedsięwzięcia z zakresu wyposażenia w nowoczesny sprzęt i materiały dydaktyczne pracowni, zwłaszcza matematyczno-przyrodniczych i cyfrowych.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 xml:space="preserve">7.2.C Przedsięwzięcia z zakresu wyposażenia w sprzęt specjalistyczny i pomoce dydaktyczne do wspomagania rozwoju uczniów ze specjalnymi potrzebami edukacyjnymi, np. uczniów niepełnosprawnych, uczniów szczególnie uzdolnionych. 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7.2.D Przedsięwzięcia ukierunkowane na wspieranie ukierunkowanych branżowo centrów kształcenia zawodowego oraz tworzenie w szkołach zawodowych warunków zbliżonych do rzeczywistego środowiska pracy zawodowej pod kątem wyposażenia, doposażenie warsztatów, pracowni itp.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7.2.E  Przedsięwzięcia z zakresu budowy nowych obiektów służących praktycznej nauce zawodu.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Możliwe jest łączenie ww. typów projektów.</w:t>
      </w:r>
    </w:p>
    <w:p w:rsidR="00995992" w:rsidRDefault="00995992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995992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995992">
        <w:rPr>
          <w:rFonts w:cs="Calibri"/>
          <w:b/>
          <w:color w:val="000000"/>
          <w:sz w:val="24"/>
          <w:szCs w:val="24"/>
        </w:rPr>
        <w:t>Wymogi dotyczące przedsięwzięć z zakresu szkolnictwa zawodowego: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a)</w:t>
      </w:r>
      <w:r w:rsidRPr="00FD18A4">
        <w:rPr>
          <w:rFonts w:cs="Calibri"/>
          <w:color w:val="000000"/>
          <w:sz w:val="24"/>
          <w:szCs w:val="24"/>
        </w:rPr>
        <w:tab/>
        <w:t xml:space="preserve">wsparta w wyniku realizacji projektu infrastruktura powinna być dostosowana do warunków zbliżonych do rzeczywistego środowiska pracy zawodowej;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b)</w:t>
      </w:r>
      <w:r w:rsidRPr="00FD18A4">
        <w:rPr>
          <w:rFonts w:cs="Calibri"/>
          <w:color w:val="000000"/>
          <w:sz w:val="24"/>
          <w:szCs w:val="24"/>
        </w:rPr>
        <w:tab/>
        <w:t>działania mające na celu poprawę infrastruktury szkół zawodowych powinny być realizowane z zaangażowaniem pracodawców tak, aby w jak największym stopniu stworzone warunki kształcenia odpowiadały na potrzeby rynku i zaowocowały wykształceniem wysokiej klasy specjalistów, poszukiwanych na rynku pracy;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c)</w:t>
      </w:r>
      <w:r w:rsidRPr="00FD18A4">
        <w:rPr>
          <w:rFonts w:cs="Calibri"/>
          <w:color w:val="000000"/>
          <w:sz w:val="24"/>
          <w:szCs w:val="24"/>
        </w:rPr>
        <w:tab/>
        <w:t>rezultatem projektu powinno być dostosowywanie oferty edukacyjnej do potrzeb rynku pracy, uwzględniające minimalne standardy zawarte w podstawie programowej;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d )        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e)         wyposażenie pracowni i warsztatów szkolnych powinno odpowiadać potrzebom konkretnej jednostki oświatowej oraz być zgodne z podstawą programową kształcenia w zawodach dla danego zawodu. Przykładowy katalog wyposażenia pracowni lub warsztatów szkolnych został opracowany przez MEN i jest udostępniany za pośrednictwem strony internetowej administrowanej przez MEN ;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f)        w sytuacji, gdy szkoła współpracuje z lokalnymi pracodawcami w zakresie praktycznej nauki zawodu, możliwe jest uw</w:t>
      </w:r>
      <w:r w:rsidR="003D31D0">
        <w:rPr>
          <w:rFonts w:cs="Calibri"/>
          <w:color w:val="000000"/>
          <w:sz w:val="24"/>
          <w:szCs w:val="24"/>
        </w:rPr>
        <w:t xml:space="preserve">zględnienie zakupu wyposażenia </w:t>
      </w:r>
      <w:r w:rsidRPr="00FD18A4">
        <w:rPr>
          <w:rFonts w:cs="Calibri"/>
          <w:color w:val="000000"/>
          <w:sz w:val="24"/>
          <w:szCs w:val="24"/>
        </w:rPr>
        <w:t>w oparciu o wyposażenie wykorzystywane u pracodawcy. Szkoła prowadząca kształcenie zawodowe musi przedstawić wówczas diagnozę uwzględniającą posiadane wyposażenie oraz rekomendacje potencjalnego pracodawcy. Na tej podstawie można wyposażyć pracownie zgodnie z indywidualnym zapotrzebowaniem pod warunkiem, że będzie ono zgodne z zapisami podstawy programowej kształcenia w zawodzie.</w:t>
      </w:r>
    </w:p>
    <w:p w:rsidR="003D31D0" w:rsidRPr="00FD18A4" w:rsidRDefault="003D31D0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Opis spełnienia poszczególnych wymogów powinien się znaleźć we wniosku o dofinasowanie np. w punkcie 8 „Pozostałe informacje”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Wymogi dotyczące wszystkich projektów: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Aby projekt mógł być realizowany, projektodawca Wnioskodawca musi wskazać: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a)    wizję i kompleksowy plan wykorzystania wspartej w wyniku realizacji projektu infrastruktury i/lub zakupionego wyposażenia (konieczność uwzględnienia kwestii demograficznych oraz w </w:t>
      </w:r>
      <w:r w:rsidRPr="00FD18A4">
        <w:rPr>
          <w:rFonts w:cs="Calibri"/>
          <w:color w:val="000000"/>
          <w:sz w:val="24"/>
          <w:szCs w:val="24"/>
        </w:rPr>
        <w:lastRenderedPageBreak/>
        <w:t xml:space="preserve">zakresie szkolnictwa zawodowego dopasowania projektu do potrzeb rynku pracy i/lub smart </w:t>
      </w:r>
      <w:proofErr w:type="spellStart"/>
      <w:r w:rsidRPr="00FD18A4">
        <w:rPr>
          <w:rFonts w:cs="Calibri"/>
          <w:color w:val="000000"/>
          <w:sz w:val="24"/>
          <w:szCs w:val="24"/>
        </w:rPr>
        <w:t>specialisation</w:t>
      </w:r>
      <w:proofErr w:type="spellEnd"/>
      <w:r w:rsidRPr="00FD18A4">
        <w:rPr>
          <w:rFonts w:cs="Calibri"/>
          <w:color w:val="000000"/>
          <w:sz w:val="24"/>
          <w:szCs w:val="24"/>
        </w:rPr>
        <w:t xml:space="preserve"> w Województwie Dolnośląskim);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b)    że projekt przyczynia się do osiągnięcia celów RPO WD finansowanych ze środków EFS;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c)    że konieczność wydatkowania środków została potwierdzona analizą potrzeb szkoły objętej projektem (diagnoza powinna zawierać m.in. inwentaryzację sprzętu, ze szczególnym uwzględnieniem sprzętu zakupionego ze środków UE, we wcześniejszych perspektywach finansowych).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Możliwe są działania poprawiające efektywność energetyczną, analogiczne do działania 3.3 RPO WD „Efektywność energetyczna w budynkach użyteczności publicznej i sektorze mieszkaniowym” (schematy 3.3 A i 3.3 B). Wartość takich inwestycji nie może przekraczać 49% wartości  wydatków kwalifikowalnych na pojedynczy budynek w projekcie.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Wyposażenie poszczególnych pracowni oraz zakupywane  pomoce dydaktyczne i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narzędzia TIK i infrastruktura sieciowo-usługowej powinno odpowiadać potrzebom konkretnej jednostki oświatowej oraz być niezbędne do realizacji programów nauczania w szkołach lub placówkach systemu oświaty.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Przykładowy katalog wyposażenia szkolnych pracowni przyrodniczych oraz wykaz pomocy dydaktycznych, narzędzi TIK oraz urządzeń sieciowych został opracowany przez MEN i jest udostępniany za pośrednictwem strony internetowej administrowanej przez MEN  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Preferowane będą projekty: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dostosowujące szkoły do pracy z uczniem o specjalnych potrzebach edukacyjnych;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zapewniające rozwój infrastruktury w zakresie nauk matematyczno-przyrodniczych i cyfrowych (wyposażenie pracowni);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komplementarne z przedsięwzięciami realizowanymi w obszarze edu</w:t>
      </w:r>
      <w:r w:rsidR="001E4C28">
        <w:rPr>
          <w:rFonts w:cs="Calibri"/>
          <w:color w:val="000000"/>
          <w:sz w:val="24"/>
          <w:szCs w:val="24"/>
        </w:rPr>
        <w:t>kacji współfinansowanymi z EFS.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Nie będą finansowane: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termomodernizacją przekraczające 49% wartości całkowitych wydatków kwalifikowalnych projektu.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- Wydatki ponoszone na infrastrukturę oraz zakup wyposażenia wykorzystywanego na potrzeby kształcenia ustawicznego.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ponoszone na budowę nowych obiektów nie służących praktycznej nauce zawodu oraz rozbudowę obiektów nie służących praktycznej nauce zawodu o budynki trwale nie połączone z istniejącym już obiektem.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Koszty zagospodarowania terenu wokół szkół i placówek oraz budowa dróg dojazdowych, wewnętrznych i parkingów.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wyposażeniem części administracyjnej.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na zakup używanych środków trwałych.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Wszystkie przedsięwzięcia będą uwzględ</w:t>
      </w:r>
      <w:r w:rsidR="001D27C1">
        <w:rPr>
          <w:rFonts w:cs="Calibri"/>
          <w:color w:val="000000"/>
          <w:sz w:val="24"/>
          <w:szCs w:val="24"/>
        </w:rPr>
        <w:t>niać konieczność dostosowania</w:t>
      </w:r>
      <w:r w:rsidRPr="00FD18A4">
        <w:rPr>
          <w:rFonts w:cs="Calibri"/>
          <w:color w:val="000000"/>
          <w:sz w:val="24"/>
          <w:szCs w:val="24"/>
        </w:rPr>
        <w:t xml:space="preserve"> infrastruktury i wyposażenia do potrzeb osób z niepełnosprawnościami (jako obowiązkowy element projektu).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Sfinansowana w ramach projektu, szeroko rozumiana infrastruktura (w tym technologie i systemy informacyjno-komunikacyjne) ma zwiększać dostępność i eliminować bariery dla osób z niepełnosprawnościami oraz być zgodna z zapisami Wytycznych w zakresie realizacji zasady równości szans i niedyskryminacji, w tym dostępności dla osób z niepełnosprawnościami oraz zasady równości szans kobiet i mężczyzn w ramach funduszy unijnych na lata 2014-2020 zwłaszcza w zakresie stosowania standardów dostępności dla polityki spójności na lata 2014-2020.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Dopuszcza się w uzasadnionych przypadkach, neutralny wpływ produktów projektu na zasadę niedyskryminacji (w tym niedyskryminacji ze względu na niepełnosprawność). Jeżeli Wnioskodawca uznaje, że jego któryś z produktów projektu ma neutralny wpływ na realizację tej zasady, wówczas taka deklaracja wraz z uzasadnieniem powinien zawrzeć w treści wniosku o dofinansowanie. Neutralność produktu projektu musi wynikać wprost z zapisów wniosku o dofinansowanie. 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Należy także zwrócić uwagę na to, iż o pozytywnym wpływie na zasadę niedyskryminacji świadczy także zastosowanie w zlecanych w ramach projektu zamówieniach publicznych klauzul społecznych (dotyczących osób z niepełnosprawnościami) a także dostępna dla osób z niepełnosprawnościami strona internetowa. Nie zwalnia to jednak Wnioskodawcy z konieczności dostosowania infrastruktury i wyposażenia do potrzeb osób z niepełnosprawnościami.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Wypełniając wniosek o dofinansowanie,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www.power.gov.pl/dostepnosc oraz w zakładce Poznaj Fundusze Europejskie bez barier znajdującej się na stronie internetowej RPO WD (http://rpo.dolnyslask.pl/o-projekcie/poznaj-fundusze-europejskie-bez-barier/). Na szczególną uwagę na tej stronie zasługuje Poradnik opublikowany przez Ministerstwo Inwestycji i Rozwoju "Realizacja zasady równości szans i niedyskryminacji, w tym dostępności dla osób z niepełnosprawnościami". </w:t>
      </w: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3D31D0">
        <w:rPr>
          <w:rFonts w:cs="Calibri"/>
          <w:b/>
          <w:color w:val="000000"/>
          <w:sz w:val="24"/>
          <w:szCs w:val="24"/>
        </w:rPr>
        <w:t xml:space="preserve">Kategorie interwencji dla niniejszego konkursu (zakres interwencji dominujący):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1E4C28">
        <w:rPr>
          <w:rFonts w:cs="Calibri"/>
          <w:b/>
          <w:color w:val="000000"/>
          <w:sz w:val="24"/>
          <w:szCs w:val="24"/>
        </w:rPr>
        <w:t>050</w:t>
      </w:r>
      <w:r w:rsidRPr="00FD18A4">
        <w:rPr>
          <w:rFonts w:cs="Calibri"/>
          <w:color w:val="000000"/>
          <w:sz w:val="24"/>
          <w:szCs w:val="24"/>
        </w:rPr>
        <w:t xml:space="preserve"> Infrastruktura edukacyjna na potrzeby kształcenia i szkolenia zawodowego oraz kształcenia osób dorosłych</w:t>
      </w:r>
    </w:p>
    <w:p w:rsidR="00B37ED3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bookmarkStart w:id="2" w:name="_GoBack"/>
      <w:r w:rsidRPr="001E4C28">
        <w:rPr>
          <w:rFonts w:cs="Calibri"/>
          <w:b/>
          <w:color w:val="000000"/>
          <w:sz w:val="24"/>
          <w:szCs w:val="24"/>
        </w:rPr>
        <w:t>051</w:t>
      </w:r>
      <w:bookmarkEnd w:id="2"/>
      <w:r w:rsidRPr="00FD18A4">
        <w:rPr>
          <w:rFonts w:cs="Calibri"/>
          <w:color w:val="000000"/>
          <w:sz w:val="24"/>
          <w:szCs w:val="24"/>
        </w:rPr>
        <w:t xml:space="preserve"> Infrastruktura edukacyjna na potrzeby edukacji szkolnej (na poziomie podstawowym i średnim ogólnokształcącym).</w:t>
      </w:r>
    </w:p>
    <w:p w:rsidR="00FD18A4" w:rsidRDefault="00FD18A4" w:rsidP="00A67469">
      <w:pPr>
        <w:pStyle w:val="Poprawka"/>
        <w:spacing w:line="360" w:lineRule="auto"/>
        <w:rPr>
          <w:rFonts w:asciiTheme="minorHAnsi" w:hAnsiTheme="minorHAnsi"/>
        </w:rPr>
      </w:pP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D31D0" w:rsidRPr="00C43085" w:rsidRDefault="003D31D0" w:rsidP="003D31D0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1739F">
        <w:rPr>
          <w:rFonts w:cs="Calibri"/>
          <w:color w:val="000000"/>
          <w:sz w:val="24"/>
          <w:szCs w:val="24"/>
        </w:rPr>
        <w:t>O dofinansowanie w ramach konkursu mogą ubiegać się następujące typy wnioskodawców/beneficjentów:</w:t>
      </w:r>
      <w:r w:rsidRPr="00C43085">
        <w:rPr>
          <w:rFonts w:cs="Calibri"/>
          <w:color w:val="000000"/>
          <w:sz w:val="24"/>
          <w:szCs w:val="24"/>
        </w:rPr>
        <w:t xml:space="preserve"> 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jednostki samorządu terytorialnego, ich związki i stowarzyszenia;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 xml:space="preserve">jednostki organizacyjne </w:t>
      </w:r>
      <w:proofErr w:type="spellStart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jst</w:t>
      </w:r>
      <w:proofErr w:type="spellEnd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D31D0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organy prowadzące szkoły, w tym organizacje pozarządowe;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specjalne ośrodki szkolno-wychowawcze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3D31D0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>
        <w:rPr>
          <w:rFonts w:eastAsia="TTE1ABE920t00" w:cs="Arial"/>
          <w:color w:val="000000"/>
          <w:sz w:val="24"/>
          <w:szCs w:val="24"/>
        </w:rPr>
        <w:t>Jako partnerzy występować mogą</w:t>
      </w:r>
      <w:r w:rsidRPr="005043BF">
        <w:rPr>
          <w:rFonts w:eastAsia="TTE1ABE920t00" w:cs="Arial"/>
          <w:color w:val="000000"/>
          <w:sz w:val="24"/>
          <w:szCs w:val="24"/>
        </w:rPr>
        <w:t xml:space="preserve"> tylko podmioty wskazane wyżej jako </w:t>
      </w:r>
      <w:r w:rsidRPr="0041739F">
        <w:rPr>
          <w:rFonts w:eastAsia="TTE1ABE920t00" w:cs="Arial"/>
          <w:color w:val="000000"/>
          <w:sz w:val="24"/>
          <w:szCs w:val="24"/>
        </w:rPr>
        <w:t>wnioskodawcy/beneficjenci.</w:t>
      </w:r>
    </w:p>
    <w:p w:rsidR="003D31D0" w:rsidRDefault="003D31D0" w:rsidP="003D31D0">
      <w:pPr>
        <w:spacing w:after="0" w:line="360" w:lineRule="auto"/>
        <w:contextualSpacing/>
        <w:rPr>
          <w:rFonts w:cs="Arial"/>
          <w:sz w:val="24"/>
          <w:szCs w:val="24"/>
          <w:u w:val="single"/>
        </w:rPr>
      </w:pPr>
    </w:p>
    <w:p w:rsidR="003D31D0" w:rsidRPr="005043BF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 w:rsidRPr="005043BF">
        <w:rPr>
          <w:rFonts w:cs="Arial"/>
          <w:sz w:val="24"/>
          <w:szCs w:val="24"/>
          <w:u w:val="single"/>
        </w:rPr>
        <w:t>O dofinansowanie nie mogą ubiegać się podmioty, które podlegają wykluczeniu z możliwości otrzymania dofinansowania, w tym wy</w:t>
      </w:r>
      <w:r>
        <w:rPr>
          <w:rFonts w:cs="Arial"/>
          <w:sz w:val="24"/>
          <w:szCs w:val="24"/>
          <w:u w:val="single"/>
        </w:rPr>
        <w:t>kluczeniu, o którym mowa w art. </w:t>
      </w:r>
      <w:r w:rsidRPr="005043BF">
        <w:rPr>
          <w:rFonts w:cs="Arial"/>
          <w:sz w:val="24"/>
          <w:szCs w:val="24"/>
          <w:u w:val="single"/>
        </w:rPr>
        <w:t>207 ust. 4 ustawy z dnia 27 sierpnia 2009 r. o finansach publicznych.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lastRenderedPageBreak/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="0004427E">
        <w:rPr>
          <w:rFonts w:cs="Calibri"/>
          <w:b/>
          <w:color w:val="000000"/>
          <w:sz w:val="24"/>
          <w:szCs w:val="24"/>
        </w:rPr>
        <w:t xml:space="preserve">  </w:t>
      </w:r>
      <w:r w:rsidR="001D27C1" w:rsidRPr="001D27C1">
        <w:rPr>
          <w:rFonts w:cs="Calibri"/>
          <w:b/>
          <w:color w:val="000000"/>
          <w:sz w:val="24"/>
          <w:szCs w:val="24"/>
        </w:rPr>
        <w:t xml:space="preserve">951 713 euro, tj.  4 152 419 zł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</w:t>
      </w:r>
      <w:r w:rsidR="009A1D03" w:rsidRPr="009A1D03">
        <w:rPr>
          <w:rFonts w:cs="MS Sans Serif"/>
          <w:color w:val="000000" w:themeColor="text1"/>
          <w:sz w:val="24"/>
          <w:szCs w:val="24"/>
        </w:rPr>
        <w:t xml:space="preserve">w lipcu 2018 r., 1 euro = 4,3631 zł – kurs z dnia 28 czerwca 2018 r.) </w:t>
      </w:r>
      <w:r w:rsidRPr="005043BF">
        <w:rPr>
          <w:rFonts w:cs="MS Sans Serif"/>
          <w:color w:val="000000" w:themeColor="text1"/>
          <w:sz w:val="24"/>
          <w:szCs w:val="24"/>
        </w:rPr>
        <w:t>w tym na procedurę odwoławczą 15% kwoty p</w:t>
      </w:r>
      <w:r w:rsidR="009A1D03">
        <w:rPr>
          <w:rFonts w:cs="MS Sans Serif"/>
          <w:color w:val="000000" w:themeColor="text1"/>
          <w:sz w:val="24"/>
          <w:szCs w:val="24"/>
        </w:rPr>
        <w:t>rzeznaczonej na konkurs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3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bookmarkEnd w:id="3"/>
    <w:p w:rsidR="009A1D03" w:rsidRDefault="009A1D03" w:rsidP="009A1D03">
      <w:pPr>
        <w:spacing w:before="24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projektów.</w:t>
      </w:r>
    </w:p>
    <w:p w:rsidR="009A1D03" w:rsidRPr="005043BF" w:rsidRDefault="009A1D03" w:rsidP="009A1D03">
      <w:pPr>
        <w:spacing w:before="240" w:after="0" w:line="360" w:lineRule="auto"/>
        <w:rPr>
          <w:sz w:val="24"/>
          <w:szCs w:val="24"/>
        </w:rPr>
      </w:pPr>
      <w:r w:rsidRPr="002E7C1A">
        <w:rPr>
          <w:sz w:val="24"/>
          <w:szCs w:val="24"/>
        </w:rPr>
        <w:t>Kwota alokacji do czasu rozstrzygnięcia naboru może ulec zmniejszeniu ze względu na pozytywnie rozpatrywane protesty w ramach poddziałania.</w:t>
      </w:r>
    </w:p>
    <w:p w:rsidR="009A1D03" w:rsidRPr="00291CC5" w:rsidRDefault="009A1D03" w:rsidP="009A1D03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 xml:space="preserve">W trakcie trwania naboru </w:t>
      </w:r>
      <w:r>
        <w:rPr>
          <w:rFonts w:eastAsia="Times New Roman" w:cs="Times New Roman"/>
          <w:sz w:val="24"/>
          <w:szCs w:val="24"/>
        </w:rPr>
        <w:t xml:space="preserve">(poprzez zmianę regulaminu konkursu) </w:t>
      </w:r>
      <w:r w:rsidRPr="005043BF">
        <w:rPr>
          <w:rFonts w:eastAsia="Times New Roman" w:cs="Times New Roman"/>
          <w:sz w:val="24"/>
          <w:szCs w:val="24"/>
        </w:rPr>
        <w:t xml:space="preserve">lub po rozstrzygnięciu konkursu IOK może zwiększyć kwotę przeznaczoną na dofinansowanie projektów w konkursie, z uwzględnieniem </w:t>
      </w:r>
      <w:r>
        <w:rPr>
          <w:rFonts w:eastAsia="Times New Roman" w:cs="Times New Roman"/>
          <w:sz w:val="24"/>
          <w:szCs w:val="24"/>
        </w:rPr>
        <w:t xml:space="preserve">kolejności projektów na liście według liczby otrzymanych punktów oraz </w:t>
      </w:r>
      <w:r w:rsidRPr="005043BF">
        <w:rPr>
          <w:rFonts w:eastAsia="Times New Roman" w:cs="Times New Roman"/>
          <w:sz w:val="24"/>
          <w:szCs w:val="24"/>
        </w:rPr>
        <w:t>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9A1D03" w:rsidRPr="00CE42E2" w:rsidRDefault="009A1D03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9A1D03" w:rsidRPr="0027783F" w:rsidRDefault="009A1D03" w:rsidP="009A1D03">
      <w:pPr>
        <w:rPr>
          <w:rFonts w:cs="Arial"/>
          <w:sz w:val="24"/>
          <w:szCs w:val="24"/>
        </w:rPr>
      </w:pPr>
      <w:r w:rsidRPr="0027783F">
        <w:rPr>
          <w:rFonts w:cs="Arial"/>
          <w:sz w:val="24"/>
          <w:szCs w:val="24"/>
        </w:rPr>
        <w:t>Minimalna wartość projektu – nie dotyczy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57722E">
        <w:rPr>
          <w:rFonts w:cs="Arial"/>
          <w:sz w:val="24"/>
          <w:szCs w:val="24"/>
        </w:rPr>
        <w:t>Minimalna wartość wydatków kwalifikowalnych projektu:</w:t>
      </w:r>
    </w:p>
    <w:p w:rsidR="009A1D03" w:rsidRPr="00E82D49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- 50 tys. PLN w przypadku projektów dotyczących wyłącznie wyposażenia;</w:t>
      </w:r>
    </w:p>
    <w:p w:rsidR="009A1D03" w:rsidRPr="00A65A6D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- 100 tys. PLN w przypadku pozostałych projektów infrastrukturalnych</w:t>
      </w:r>
      <w:r>
        <w:rPr>
          <w:rFonts w:cs="Arial"/>
          <w:sz w:val="24"/>
          <w:szCs w:val="24"/>
        </w:rPr>
        <w:t>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bookmarkStart w:id="4" w:name="_Toc497464986"/>
      <w:r w:rsidRPr="00615A50">
        <w:rPr>
          <w:rFonts w:cs="Arial"/>
          <w:sz w:val="24"/>
          <w:szCs w:val="24"/>
        </w:rPr>
        <w:t>Maksymalna wartość projektu</w:t>
      </w:r>
      <w:r w:rsidR="00A665B3">
        <w:rPr>
          <w:rFonts w:cs="Arial"/>
          <w:sz w:val="24"/>
          <w:szCs w:val="24"/>
        </w:rPr>
        <w:t xml:space="preserve"> - </w:t>
      </w:r>
      <w:r w:rsidRPr="00615A50">
        <w:rPr>
          <w:rFonts w:cs="Arial"/>
          <w:sz w:val="24"/>
          <w:szCs w:val="24"/>
        </w:rPr>
        <w:t xml:space="preserve"> nie dotyczy.</w:t>
      </w:r>
      <w:r>
        <w:rPr>
          <w:rFonts w:cs="Arial"/>
          <w:sz w:val="24"/>
          <w:szCs w:val="24"/>
        </w:rPr>
        <w:t xml:space="preserve"> 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1121E9">
        <w:rPr>
          <w:rFonts w:cs="Arial"/>
          <w:sz w:val="24"/>
          <w:szCs w:val="24"/>
        </w:rPr>
        <w:t xml:space="preserve">Maksymalna wartość wydatków kwalifikowalnych projektu: 12 mln PLN  </w:t>
      </w:r>
    </w:p>
    <w:p w:rsidR="009A1D03" w:rsidRPr="00DA4E20" w:rsidRDefault="009A1D03" w:rsidP="009A1D03">
      <w:pPr>
        <w:rPr>
          <w:rFonts w:cs="Arial"/>
          <w:sz w:val="24"/>
          <w:szCs w:val="24"/>
        </w:rPr>
      </w:pPr>
      <w:r w:rsidRPr="00F16574">
        <w:rPr>
          <w:rFonts w:cs="Arial"/>
          <w:sz w:val="24"/>
          <w:szCs w:val="24"/>
        </w:rPr>
        <w:t xml:space="preserve">Maksymalna wartość wydatków kwalifikowalnych  </w:t>
      </w:r>
      <w:r>
        <w:rPr>
          <w:rFonts w:cs="Arial"/>
          <w:sz w:val="24"/>
          <w:szCs w:val="24"/>
        </w:rPr>
        <w:t xml:space="preserve">dotyczy jednej szkoły/placówki </w:t>
      </w:r>
    </w:p>
    <w:bookmarkEnd w:id="4"/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lastRenderedPageBreak/>
        <w:t>Wnioskowana w projekcie wartość dofinansowania (przeliczona po kursie wskazanym w regulaminie konkursu) nie może przekroczyć alokacji przeznaczonej na niniejszy konkurs (nr RPDS.07.02.0</w:t>
      </w:r>
      <w:r w:rsidR="00A665B3">
        <w:rPr>
          <w:rFonts w:ascii="Calibri" w:eastAsia="Droid Sans Fallback" w:hAnsi="Calibri" w:cs="Calibri"/>
          <w:sz w:val="24"/>
          <w:szCs w:val="24"/>
        </w:rPr>
        <w:t>3</w:t>
      </w:r>
      <w:r w:rsidRPr="008C79BF">
        <w:rPr>
          <w:rFonts w:ascii="Calibri" w:eastAsia="Droid Sans Fallback" w:hAnsi="Calibri" w:cs="Calibri"/>
          <w:sz w:val="24"/>
          <w:szCs w:val="24"/>
        </w:rPr>
        <w:t>-IZ.00-02- 31</w:t>
      </w:r>
      <w:r w:rsidR="00A665B3">
        <w:rPr>
          <w:rFonts w:ascii="Calibri" w:eastAsia="Droid Sans Fallback" w:hAnsi="Calibri" w:cs="Calibri"/>
          <w:sz w:val="24"/>
          <w:szCs w:val="24"/>
        </w:rPr>
        <w:t>3</w:t>
      </w:r>
      <w:r w:rsidRPr="008C79BF">
        <w:rPr>
          <w:rFonts w:ascii="Calibri" w:eastAsia="Droid Sans Fallback" w:hAnsi="Calibri" w:cs="Calibri"/>
          <w:sz w:val="24"/>
          <w:szCs w:val="24"/>
        </w:rPr>
        <w:t>/18).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Maksymalny poziom dofinansowania UE na poziomie projektu wynosi: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1.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>w przypadku projektu nieobjętego pomocą publiczną – maksymalnie 85% kosztów kwalifikowalnych;</w:t>
      </w: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2.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 xml:space="preserve">w przypadku projektu objętego pomocą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, maksymalny poziom dofinansowania wyniesie 85% z zastrzeżeniem, że całkowita kwota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dla danego podmiotu w okresie trzech lat podatkowych (z uwzględnieniem wnioskowanej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IZ RPO WD zastrzega sobie prawo do weryfikacji informacji o otrzymanej przez wnioskodawcę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w oparciu o dane dostępne w systemie SUDOP. Kontrola zostanie przeprowadzona podczas oceny wniosku o dofinansowanie, a następnie – w przypadku pozytywnej oceny i wyboru projektu do dofinansowania – przed podpisaniem umowy o dofinansowanie. Stwierdzenie przekroczenia dopuszczalnej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będzie skutkowało zmniejszeniem dofinansowania lub odrzuceniem projektu podczas oceny wniosku/odmową zawarcia umowy.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662809" w:rsidRPr="00CE42E2" w:rsidRDefault="00662809" w:rsidP="00CE42E2">
      <w:pPr>
        <w:pStyle w:val="Default"/>
        <w:spacing w:line="360" w:lineRule="auto"/>
        <w:rPr>
          <w:rFonts w:asciiTheme="minorHAnsi" w:hAnsiTheme="minorHAnsi"/>
        </w:rPr>
      </w:pP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1.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>w przypadku projektu bez pomocy publicznej - 15 % kosztów kwalifikowalnych;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2.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 xml:space="preserve">w przypadku wydatków objętych pomocą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- 15 % kosztów kwalifikowalnych z zastrzeżeniem, że całkowita kwota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dla danego podmiotu w okresie trzech lat podatkowych (z uwzględnieniem wnioskowanej kwoty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Pr="004F191E">
        <w:rPr>
          <w:sz w:val="24"/>
          <w:szCs w:val="24"/>
        </w:rPr>
        <w:t>https://snow-umwd.dolnyslask.pl</w:t>
      </w:r>
      <w:r>
        <w:rPr>
          <w:sz w:val="24"/>
          <w:szCs w:val="24"/>
        </w:rPr>
        <w:t xml:space="preserve"> </w:t>
      </w:r>
      <w:r w:rsidRPr="005043BF">
        <w:rPr>
          <w:sz w:val="24"/>
          <w:szCs w:val="24"/>
        </w:rPr>
        <w:t xml:space="preserve">i przesyła do IOK w ramach niniejszego konkursu w terminie </w:t>
      </w:r>
      <w:r w:rsidRPr="005043BF">
        <w:rPr>
          <w:b/>
          <w:sz w:val="24"/>
          <w:szCs w:val="24"/>
        </w:rPr>
        <w:t xml:space="preserve">od godz. 8.00 dnia </w:t>
      </w:r>
      <w:r>
        <w:rPr>
          <w:b/>
          <w:sz w:val="24"/>
          <w:szCs w:val="24"/>
        </w:rPr>
        <w:t>27 sierpnia</w:t>
      </w:r>
      <w:r w:rsidRPr="005043B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043BF">
        <w:rPr>
          <w:b/>
          <w:sz w:val="24"/>
          <w:szCs w:val="24"/>
        </w:rPr>
        <w:t xml:space="preserve"> r. do godz. 15.00 dnia</w:t>
      </w:r>
      <w:r>
        <w:rPr>
          <w:b/>
          <w:sz w:val="24"/>
          <w:szCs w:val="24"/>
        </w:rPr>
        <w:t xml:space="preserve"> 15 listopada </w:t>
      </w:r>
      <w:r w:rsidRPr="005043BF">
        <w:rPr>
          <w:b/>
          <w:sz w:val="24"/>
          <w:szCs w:val="24"/>
        </w:rPr>
        <w:t>2018 r.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>o dofinansowanie będzie możliwe w czasie trwania naboru wniosków. Aplikacja służy do przygotowania wniosku o dofinans</w:t>
      </w:r>
      <w:r>
        <w:rPr>
          <w:sz w:val="24"/>
          <w:szCs w:val="24"/>
        </w:rPr>
        <w:t>owanie projektu realizowanego w </w:t>
      </w:r>
      <w:r w:rsidRPr="005043BF">
        <w:rPr>
          <w:sz w:val="24"/>
          <w:szCs w:val="24"/>
        </w:rPr>
        <w:t>ramach Regionalnego Programu Operacyjnego Województwa Dolnośląskiego 2014-2020. System umożliwia tworzenie,</w:t>
      </w:r>
      <w:r>
        <w:rPr>
          <w:sz w:val="24"/>
          <w:szCs w:val="24"/>
        </w:rPr>
        <w:t xml:space="preserve"> edycję oraz wydruk wniosków o </w:t>
      </w:r>
      <w:r w:rsidRPr="005043BF">
        <w:rPr>
          <w:sz w:val="24"/>
          <w:szCs w:val="24"/>
        </w:rPr>
        <w:t xml:space="preserve">dofinansowanie, a także zapewnia możliwość ich złożenia do właściwej instytucji.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>do godz. 15.00 dnia</w:t>
      </w:r>
      <w:r>
        <w:rPr>
          <w:b/>
          <w:sz w:val="24"/>
          <w:szCs w:val="24"/>
        </w:rPr>
        <w:t xml:space="preserve"> 15</w:t>
      </w:r>
      <w:r w:rsidRPr="00DA6928">
        <w:rPr>
          <w:b/>
          <w:sz w:val="24"/>
          <w:szCs w:val="24"/>
        </w:rPr>
        <w:t xml:space="preserve"> listopada 2018 r.</w:t>
      </w:r>
      <w:r>
        <w:rPr>
          <w:b/>
          <w:sz w:val="24"/>
          <w:szCs w:val="24"/>
        </w:rPr>
        <w:t xml:space="preserve"> </w:t>
      </w:r>
      <w:r w:rsidRPr="005043BF">
        <w:rPr>
          <w:sz w:val="24"/>
          <w:szCs w:val="24"/>
        </w:rPr>
        <w:t>do siedziby IOK należy dostarczyć jeden egzemplarz wydrukowanej z aplikacji Generator Wniosków papierowej wersji wniosku, opatrzonej czytel</w:t>
      </w:r>
      <w:r>
        <w:rPr>
          <w:sz w:val="24"/>
          <w:szCs w:val="24"/>
        </w:rPr>
        <w:t>nym podpisem/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lub parafą i z </w:t>
      </w:r>
      <w:r w:rsidRPr="005043BF">
        <w:rPr>
          <w:sz w:val="24"/>
          <w:szCs w:val="24"/>
        </w:rPr>
        <w:t>pieczęcią imienną osoby/</w:t>
      </w:r>
      <w:proofErr w:type="spellStart"/>
      <w:r w:rsidRPr="005043BF">
        <w:rPr>
          <w:sz w:val="24"/>
          <w:szCs w:val="24"/>
        </w:rPr>
        <w:t>ób</w:t>
      </w:r>
      <w:proofErr w:type="spellEnd"/>
      <w:r w:rsidRPr="005043BF">
        <w:rPr>
          <w:sz w:val="24"/>
          <w:szCs w:val="24"/>
        </w:rPr>
        <w:t xml:space="preserve"> uprawnionej/</w:t>
      </w:r>
      <w:proofErr w:type="spellStart"/>
      <w:r w:rsidRPr="005043BF">
        <w:rPr>
          <w:sz w:val="24"/>
          <w:szCs w:val="24"/>
        </w:rPr>
        <w:t>ych</w:t>
      </w:r>
      <w:proofErr w:type="spellEnd"/>
      <w:r w:rsidRPr="005043BF">
        <w:rPr>
          <w:sz w:val="24"/>
          <w:szCs w:val="24"/>
        </w:rPr>
        <w:t xml:space="preserve"> do reprezentowania wnioskodawcy (wraz z podpisanymi załącznikami).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</w:t>
      </w:r>
      <w:r>
        <w:rPr>
          <w:sz w:val="24"/>
          <w:szCs w:val="24"/>
        </w:rPr>
        <w:t>y kalkulacyjnych w </w:t>
      </w:r>
      <w:r w:rsidRPr="005043BF">
        <w:rPr>
          <w:sz w:val="24"/>
          <w:szCs w:val="24"/>
        </w:rPr>
        <w:t>formacie Excel z aktywnymi formułami) przedłożyć należy na nośniku CD.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b) za pośrednictwem polskiego operatora wyzna</w:t>
      </w:r>
      <w:r>
        <w:rPr>
          <w:sz w:val="24"/>
          <w:szCs w:val="24"/>
        </w:rPr>
        <w:t>czonego,  w rozumieniu ustawy z </w:t>
      </w:r>
      <w:r w:rsidRPr="005043BF">
        <w:rPr>
          <w:sz w:val="24"/>
          <w:szCs w:val="24"/>
        </w:rPr>
        <w:t xml:space="preserve">dnia 23 listopada 2012 r. - Prawo pocztowe, na adres: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lastRenderedPageBreak/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>Zgodnie z art. 57 § 5 KPA termin uważa się za zachowany, jeżeli przed jego upływem nadano pismo w polskiej placówce poc</w:t>
      </w:r>
      <w:r>
        <w:rPr>
          <w:sz w:val="24"/>
          <w:szCs w:val="24"/>
        </w:rPr>
        <w:t>ztowej operatora wyznaczonego w </w:t>
      </w:r>
      <w:r w:rsidRPr="005043BF">
        <w:rPr>
          <w:sz w:val="24"/>
          <w:szCs w:val="24"/>
        </w:rPr>
        <w:t xml:space="preserve">rozumieniu ustawy z dnia 23 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DC2967" w:rsidRPr="005043BF" w:rsidRDefault="00DC2967" w:rsidP="00DC2967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 xml:space="preserve">Suma kontrolna wersji elektronicznej wniosku (w </w:t>
      </w:r>
      <w:r>
        <w:rPr>
          <w:rFonts w:eastAsia="Calibri" w:cs="Times New Roman"/>
          <w:sz w:val="24"/>
          <w:szCs w:val="24"/>
          <w:lang w:eastAsia="pl-PL"/>
        </w:rPr>
        <w:t>systemie) musi być identyczna z </w:t>
      </w:r>
      <w:r w:rsidRPr="005043BF">
        <w:rPr>
          <w:rFonts w:eastAsia="Calibri" w:cs="Times New Roman"/>
          <w:sz w:val="24"/>
          <w:szCs w:val="24"/>
          <w:lang w:eastAsia="pl-PL"/>
        </w:rPr>
        <w:t>sumą kontrolną papierowej wersji wniosku.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Wniosek wraz z załącznikami (jeśli dotyczy) należy złożyć w zamkniętej kopercie, (lub innym opakowaniu np. pudełku) której opis zawiera następujące informacje: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- numer wniosku o dofinansowanie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DC2967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lastRenderedPageBreak/>
        <w:t>W przypadku złożenia wniosku o dofinansowanie projektu po terminie wskazanym w ogłoszeniu o konkursie wniosek pozostawia się bez rozpatrzenia.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</w:t>
      </w:r>
      <w:r>
        <w:rPr>
          <w:sz w:val="24"/>
          <w:szCs w:val="24"/>
        </w:rPr>
        <w:t xml:space="preserve"> składanie fałszywych zeznań, z </w:t>
      </w:r>
      <w:r w:rsidRPr="005043BF">
        <w:rPr>
          <w:sz w:val="24"/>
          <w:szCs w:val="24"/>
        </w:rPr>
        <w:t>wyłączeniem oświadczenia</w:t>
      </w:r>
      <w:r>
        <w:rPr>
          <w:sz w:val="24"/>
          <w:szCs w:val="24"/>
        </w:rPr>
        <w:t>,</w:t>
      </w:r>
      <w:r w:rsidRPr="005043BF">
        <w:rPr>
          <w:sz w:val="24"/>
          <w:szCs w:val="24"/>
        </w:rPr>
        <w:t xml:space="preserve">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DC2967" w:rsidRDefault="00DC2967" w:rsidP="00DC2967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DC2967" w:rsidRPr="005043BF" w:rsidRDefault="00DC2967" w:rsidP="00DC296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punkcie Regulaminu obowiązuje także przy składaniu każdej poprawionej wersji wniosku o dofinansowanie.</w:t>
      </w:r>
    </w:p>
    <w:p w:rsidR="00DC2967" w:rsidRPr="00CE42E2" w:rsidRDefault="00DC2967" w:rsidP="00CE42E2">
      <w:pPr>
        <w:pStyle w:val="Default"/>
        <w:spacing w:line="360" w:lineRule="auto"/>
        <w:rPr>
          <w:rFonts w:asciiTheme="minorHAnsi" w:hAnsiTheme="minorHAnsi"/>
        </w:rPr>
      </w:pP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 xml:space="preserve">Wszystkie kwestie dotyczące naboru opisane zostały w Regulaminie, który dostępny jest wraz z załącznikami na stronie internetowej www.rpo.dolnyslask.pl, na stronie </w:t>
      </w:r>
      <w:hyperlink r:id="rId10" w:history="1">
        <w:r w:rsidR="00A665B3" w:rsidRPr="002D780F">
          <w:rPr>
            <w:rStyle w:val="Hipercze"/>
            <w:rFonts w:asciiTheme="minorHAnsi" w:hAnsiTheme="minorHAnsi" w:cs="Calibri"/>
            <w:sz w:val="24"/>
            <w:szCs w:val="24"/>
          </w:rPr>
          <w:t>http://zitaj.jeleniagora.pl</w:t>
        </w:r>
      </w:hyperlink>
      <w:r w:rsidR="00A665B3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sz w:val="24"/>
          <w:szCs w:val="24"/>
        </w:rPr>
        <w:t>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1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543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07867"/>
    <w:multiLevelType w:val="hybridMultilevel"/>
    <w:tmpl w:val="A92221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36"/>
  </w:num>
  <w:num w:numId="5">
    <w:abstractNumId w:val="5"/>
  </w:num>
  <w:num w:numId="6">
    <w:abstractNumId w:val="42"/>
  </w:num>
  <w:num w:numId="7">
    <w:abstractNumId w:val="10"/>
  </w:num>
  <w:num w:numId="8">
    <w:abstractNumId w:val="15"/>
  </w:num>
  <w:num w:numId="9">
    <w:abstractNumId w:val="38"/>
  </w:num>
  <w:num w:numId="10">
    <w:abstractNumId w:val="21"/>
  </w:num>
  <w:num w:numId="11">
    <w:abstractNumId w:val="33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"/>
  </w:num>
  <w:num w:numId="17">
    <w:abstractNumId w:val="45"/>
  </w:num>
  <w:num w:numId="18">
    <w:abstractNumId w:val="29"/>
  </w:num>
  <w:num w:numId="19">
    <w:abstractNumId w:val="2"/>
  </w:num>
  <w:num w:numId="20">
    <w:abstractNumId w:val="25"/>
  </w:num>
  <w:num w:numId="21">
    <w:abstractNumId w:val="30"/>
  </w:num>
  <w:num w:numId="22">
    <w:abstractNumId w:val="43"/>
  </w:num>
  <w:num w:numId="23">
    <w:abstractNumId w:val="18"/>
  </w:num>
  <w:num w:numId="24">
    <w:abstractNumId w:val="37"/>
  </w:num>
  <w:num w:numId="25">
    <w:abstractNumId w:val="40"/>
  </w:num>
  <w:num w:numId="26">
    <w:abstractNumId w:val="19"/>
  </w:num>
  <w:num w:numId="27">
    <w:abstractNumId w:val="2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4"/>
  </w:num>
  <w:num w:numId="33">
    <w:abstractNumId w:val="22"/>
  </w:num>
  <w:num w:numId="34">
    <w:abstractNumId w:val="4"/>
  </w:num>
  <w:num w:numId="35">
    <w:abstractNumId w:val="41"/>
  </w:num>
  <w:num w:numId="36">
    <w:abstractNumId w:val="35"/>
  </w:num>
  <w:num w:numId="37">
    <w:abstractNumId w:val="16"/>
  </w:num>
  <w:num w:numId="38">
    <w:abstractNumId w:val="20"/>
  </w:num>
  <w:num w:numId="39">
    <w:abstractNumId w:val="11"/>
  </w:num>
  <w:num w:numId="40">
    <w:abstractNumId w:val="27"/>
  </w:num>
  <w:num w:numId="41">
    <w:abstractNumId w:val="9"/>
  </w:num>
  <w:num w:numId="42">
    <w:abstractNumId w:val="46"/>
  </w:num>
  <w:num w:numId="43">
    <w:abstractNumId w:val="17"/>
  </w:num>
  <w:num w:numId="44">
    <w:abstractNumId w:val="26"/>
  </w:num>
  <w:num w:numId="45">
    <w:abstractNumId w:val="32"/>
  </w:num>
  <w:num w:numId="46">
    <w:abstractNumId w:val="23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4427E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45D18"/>
    <w:rsid w:val="0015088A"/>
    <w:rsid w:val="00151119"/>
    <w:rsid w:val="001613A1"/>
    <w:rsid w:val="00163B95"/>
    <w:rsid w:val="00163C1F"/>
    <w:rsid w:val="001710F2"/>
    <w:rsid w:val="00172155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27C1"/>
    <w:rsid w:val="001D5ADE"/>
    <w:rsid w:val="001E2DC4"/>
    <w:rsid w:val="001E4C28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C7D68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64F8A"/>
    <w:rsid w:val="00372F5E"/>
    <w:rsid w:val="003731FE"/>
    <w:rsid w:val="0037791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31D0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4322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E5007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7DB6"/>
    <w:rsid w:val="005B3412"/>
    <w:rsid w:val="005B34B9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545AC"/>
    <w:rsid w:val="00662809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774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C79BF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95992"/>
    <w:rsid w:val="009A1D03"/>
    <w:rsid w:val="009A7256"/>
    <w:rsid w:val="009B14CF"/>
    <w:rsid w:val="009B3869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65B3"/>
    <w:rsid w:val="00A67469"/>
    <w:rsid w:val="00A675F0"/>
    <w:rsid w:val="00A72E47"/>
    <w:rsid w:val="00A74139"/>
    <w:rsid w:val="00A75F59"/>
    <w:rsid w:val="00A87906"/>
    <w:rsid w:val="00A9007B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24B20"/>
    <w:rsid w:val="00B351F1"/>
    <w:rsid w:val="00B37ED3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76A92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6514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845BD"/>
    <w:rsid w:val="00C918E6"/>
    <w:rsid w:val="00CA32FC"/>
    <w:rsid w:val="00CA3A61"/>
    <w:rsid w:val="00CA790B"/>
    <w:rsid w:val="00CB0572"/>
    <w:rsid w:val="00CD3C72"/>
    <w:rsid w:val="00CD6D41"/>
    <w:rsid w:val="00CE00BD"/>
    <w:rsid w:val="00CE03F4"/>
    <w:rsid w:val="00CE42E2"/>
    <w:rsid w:val="00CF062E"/>
    <w:rsid w:val="00CF4238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2967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17D9E"/>
    <w:rsid w:val="00E24EFE"/>
    <w:rsid w:val="00E25638"/>
    <w:rsid w:val="00E2717D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18A4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itaj.jeleniagor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65B0-D6A4-4773-B925-2213D9C7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3019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4</cp:revision>
  <cp:lastPrinted>2018-06-18T12:14:00Z</cp:lastPrinted>
  <dcterms:created xsi:type="dcterms:W3CDTF">2018-07-10T10:07:00Z</dcterms:created>
  <dcterms:modified xsi:type="dcterms:W3CDTF">2018-07-10T10:18:00Z</dcterms:modified>
</cp:coreProperties>
</file>